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409D8" w14:textId="64D8F61D" w:rsidR="00A90879" w:rsidRPr="00A90879" w:rsidRDefault="00A90879" w:rsidP="00A90879">
      <w:pPr>
        <w:widowControl/>
        <w:tabs>
          <w:tab w:val="right" w:pos="8640"/>
        </w:tabs>
        <w:spacing w:line="259" w:lineRule="auto"/>
        <w:rPr>
          <w:rFonts w:ascii="Calibri" w:eastAsia="新細明體" w:hAnsi="Calibri" w:cs="Times New Roman"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kern w:val="0"/>
          <w:sz w:val="32"/>
          <w:szCs w:val="22"/>
          <w14:ligatures w14:val="none"/>
        </w:rPr>
        <w:t>成聖之學與人的神聖化</w:t>
      </w:r>
      <w:proofErr w:type="spellStart"/>
      <w:r w:rsidRPr="00A90879">
        <w:rPr>
          <w:rFonts w:ascii="Calibri" w:eastAsia="新細明體" w:hAnsi="Calibri" w:cs="Times New Roman"/>
          <w:b/>
          <w:kern w:val="0"/>
          <w:sz w:val="32"/>
          <w:szCs w:val="22"/>
          <w14:ligatures w14:val="none"/>
        </w:rPr>
        <w:t>Theosis</w:t>
      </w:r>
      <w:proofErr w:type="spellEnd"/>
      <w:r w:rsidRPr="00A90879">
        <w:rPr>
          <w:rFonts w:ascii="Calibri" w:eastAsia="新細明體" w:hAnsi="Calibri" w:cs="Times New Roman"/>
          <w:kern w:val="0"/>
          <w:sz w:val="22"/>
          <w:szCs w:val="22"/>
          <w14:ligatures w14:val="none"/>
        </w:rPr>
        <w:tab/>
      </w:r>
    </w:p>
    <w:p w14:paraId="52DA681A" w14:textId="77777777" w:rsidR="00A90879" w:rsidRPr="00A90879" w:rsidRDefault="00A90879" w:rsidP="00A90879">
      <w:pPr>
        <w:widowControl/>
        <w:tabs>
          <w:tab w:val="right" w:pos="8640"/>
        </w:tabs>
        <w:spacing w:line="259" w:lineRule="auto"/>
        <w:rPr>
          <w:rFonts w:ascii="Calibri" w:eastAsia="新細明體" w:hAnsi="Calibri" w:cs="Times New Roman"/>
          <w:b/>
          <w:kern w:val="0"/>
          <w:sz w:val="28"/>
          <w:szCs w:val="22"/>
          <w14:ligatures w14:val="none"/>
        </w:rPr>
      </w:pPr>
      <w:proofErr w:type="gramStart"/>
      <w:r w:rsidRPr="00A90879">
        <w:rPr>
          <w:rFonts w:ascii="Calibri" w:eastAsia="新細明體" w:hAnsi="Calibri" w:cs="Times New Roman"/>
          <w:b/>
          <w:kern w:val="0"/>
          <w:sz w:val="28"/>
          <w:szCs w:val="22"/>
          <w14:ligatures w14:val="none"/>
        </w:rPr>
        <w:t>古代射禮</w:t>
      </w:r>
      <w:proofErr w:type="gramEnd"/>
      <w:r w:rsidRPr="00A90879">
        <w:rPr>
          <w:rFonts w:ascii="Calibri" w:eastAsia="新細明體" w:hAnsi="Calibri" w:cs="Times New Roman"/>
          <w:b/>
          <w:kern w:val="0"/>
          <w:sz w:val="28"/>
          <w:szCs w:val="22"/>
          <w14:ligatures w14:val="none"/>
        </w:rPr>
        <w:t>與自省正己</w:t>
      </w:r>
      <w:proofErr w:type="gramStart"/>
      <w:r w:rsidRPr="00A90879">
        <w:rPr>
          <w:rFonts w:ascii="Calibri" w:eastAsia="新細明體" w:hAnsi="Calibri" w:cs="Times New Roman"/>
          <w:b/>
          <w:kern w:val="0"/>
          <w:sz w:val="28"/>
          <w:szCs w:val="22"/>
          <w14:ligatures w14:val="none"/>
        </w:rPr>
        <w:t>之</w:t>
      </w:r>
      <w:proofErr w:type="gramEnd"/>
      <w:r w:rsidRPr="00A90879">
        <w:rPr>
          <w:rFonts w:ascii="Calibri" w:eastAsia="新細明體" w:hAnsi="Calibri" w:cs="Times New Roman"/>
          <w:b/>
          <w:kern w:val="0"/>
          <w:sz w:val="28"/>
          <w:szCs w:val="22"/>
          <w14:ligatures w14:val="none"/>
        </w:rPr>
        <w:t>道</w:t>
      </w:r>
    </w:p>
    <w:p w14:paraId="1FD895FA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中國古聖之學，自始即重自省工夫，發展成後世所謂修養工夫，由實踐以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証驗所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主張的道理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，本質上是一種實踐哲學。</w:t>
      </w:r>
    </w:p>
    <w:p w14:paraId="52FE4AD8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自省工夫當根源於周代的禮樂文化，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周代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的禮制中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，有所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謂射禮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，據說源自黃帝，是上古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一種禮制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。《通典》：「自黃帝有天下，建萬國，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爰至夏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商，及於周氏，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雖更相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吞滅，而不改舊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規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。周初諸侯，尚千八百國，所以崇三射之制。」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1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三射應是指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大射、賓射、燕射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，天子諸侯和大夫參與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的射禮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。此外還有民間的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鄉射禮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射於州序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」，序是學校。這是地方官長為教民禮讓、敦化民俗，及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薦舉賢士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的禮。</w:t>
      </w:r>
    </w:p>
    <w:p w14:paraId="008A3510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射箭之禮，本是一種體能鍛鍊及競技，但中國自古視之為精神的修持，射箭出色的表現在人的精意志修為。《禮記》指出射箭者必須「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內志正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，外體直，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…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此可以觀德行矣。」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2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，即內心平和凝聚，身體姿勢平直合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規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，《孔子家語》引孔子說：「發而不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失正鵠者，其唯賢者乎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3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由射箭可觀察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一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個人，知其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是否具賢者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的品質，因為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由射禮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可見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一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個人是否控制身心得宜，舉止是否平和得體，是否天賦優良而又有自我操練。</w:t>
      </w:r>
    </w:p>
    <w:p w14:paraId="51224C33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此外，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射作為一種禮，其精神表現在文化、社會、政治交往關係中，帶來人與人的和諧，這都隱涵一種善的價值。《禮記》記載：「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是故古者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，天子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以射選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諸侯卿大夫士，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射者男子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之事，因而飾之以禮樂也。故事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之盡禮樂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而可數為以立德行者，莫若射，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故聖王務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焉。」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4"/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鄭玄注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：「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選士者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，先考德行，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乃後決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之於射。」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5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據《禮記》所言，周代選諸侯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大夫等，先考德行，以射箭之禮來觀察。</w:t>
      </w:r>
    </w:p>
    <w:p w14:paraId="2BD232DF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射禮的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精神是在「自省正己」，《禮記》說：「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射者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，仁之道也。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射求正諸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己，己正而後發。發而不中，則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不怨勝己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者，求反諸己而已矣。」射箭之禮是「仁道」，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這仁道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就是「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正諸己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」及「求反諸己亅的「自省亅工夫，據經學家范寧注《穀梁傳集解》中說：「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射以不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爭為仁，揖讓為義。」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6"/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故射禮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具有仁義之本質。</w:t>
      </w:r>
    </w:p>
    <w:p w14:paraId="39F65AFF" w14:textId="77777777" w:rsidR="00A90879" w:rsidRPr="00A90879" w:rsidRDefault="00A90879" w:rsidP="00A90879">
      <w:pPr>
        <w:widowControl/>
        <w:spacing w:line="259" w:lineRule="auto"/>
        <w:rPr>
          <w:rFonts w:ascii="Times New Roman" w:eastAsia="新細明體" w:hAnsi="Times New Roman" w:cs="Times New Roman"/>
          <w:b/>
          <w:bCs/>
          <w:sz w:val="28"/>
          <w14:ligatures w14:val="none"/>
        </w:rPr>
      </w:pPr>
      <w:r w:rsidRPr="00A90879">
        <w:rPr>
          <w:rFonts w:ascii="Times New Roman" w:eastAsia="新細明體" w:hAnsi="Times New Roman" w:cs="Times New Roman"/>
          <w:b/>
          <w:bCs/>
          <w:sz w:val="28"/>
          <w14:ligatures w14:val="none"/>
        </w:rPr>
        <w:t>孔子內省之道</w:t>
      </w:r>
    </w:p>
    <w:p w14:paraId="3B0DB524" w14:textId="77777777" w:rsidR="00A90879" w:rsidRPr="00A90879" w:rsidRDefault="00A90879" w:rsidP="00A90879">
      <w:pPr>
        <w:widowControl/>
        <w:spacing w:line="259" w:lineRule="auto"/>
        <w:rPr>
          <w:rFonts w:ascii="Times New Roman" w:eastAsia="新細明體" w:hAnsi="Times New Roman" w:cs="Times New Roman"/>
          <w:b/>
          <w:bCs/>
          <w:sz w:val="22"/>
          <w:szCs w:val="22"/>
          <w14:ligatures w14:val="none"/>
        </w:rPr>
      </w:pPr>
      <w:r w:rsidRPr="00A90879">
        <w:rPr>
          <w:rFonts w:ascii="Times New Roman" w:eastAsia="新細明體" w:hAnsi="Times New Roman" w:cs="Times New Roman"/>
          <w:b/>
          <w:bCs/>
          <w:sz w:val="22"/>
          <w:szCs w:val="22"/>
          <w14:ligatures w14:val="none"/>
        </w:rPr>
        <w:t>孔子生於春秋之時，《史記》記載：「孔子之時，</w:t>
      </w:r>
      <w:proofErr w:type="gramStart"/>
      <w:r w:rsidRPr="00A90879">
        <w:rPr>
          <w:rFonts w:ascii="Times New Roman" w:eastAsia="新細明體" w:hAnsi="Times New Roman" w:cs="Times New Roman"/>
          <w:b/>
          <w:bCs/>
          <w:sz w:val="22"/>
          <w:szCs w:val="22"/>
          <w14:ligatures w14:val="none"/>
        </w:rPr>
        <w:t>周室衰微</w:t>
      </w:r>
      <w:proofErr w:type="gramEnd"/>
      <w:r w:rsidRPr="00A90879">
        <w:rPr>
          <w:rFonts w:ascii="Times New Roman" w:eastAsia="新細明體" w:hAnsi="Times New Roman" w:cs="Times New Roman"/>
          <w:b/>
          <w:bCs/>
          <w:sz w:val="22"/>
          <w:szCs w:val="22"/>
          <w14:ligatures w14:val="none"/>
        </w:rPr>
        <w:t>，禮樂壞，詩書廢。</w:t>
      </w:r>
      <w:r w:rsidRPr="00A90879">
        <w:rPr>
          <w:rFonts w:ascii="Times New Roman" w:eastAsia="SimSun" w:hAnsi="Times New Roman" w:cs="Times New Roman"/>
          <w:b/>
          <w:bCs/>
          <w:sz w:val="22"/>
          <w:szCs w:val="22"/>
          <w14:ligatures w14:val="none"/>
        </w:rPr>
        <w:t>」</w:t>
      </w:r>
      <w:r w:rsidRPr="00A90879">
        <w:rPr>
          <w:rFonts w:ascii="Times New Roman" w:eastAsia="SimSun" w:hAnsi="Times New Roman" w:cs="Times New Roman"/>
          <w:b/>
          <w:bCs/>
          <w:sz w:val="22"/>
          <w:szCs w:val="22"/>
          <w:vertAlign w:val="superscript"/>
          <w:lang w:eastAsia="zh-CN"/>
          <w14:ligatures w14:val="none"/>
        </w:rPr>
        <w:footnoteReference w:id="7"/>
      </w:r>
      <w:proofErr w:type="gramStart"/>
      <w:r w:rsidRPr="00A90879">
        <w:rPr>
          <w:rFonts w:ascii="Times New Roman" w:eastAsia="SimSun" w:hAnsi="Times New Roman" w:cs="Times New Roman"/>
          <w:b/>
          <w:bCs/>
          <w:sz w:val="22"/>
          <w:szCs w:val="22"/>
          <w14:ligatures w14:val="none"/>
        </w:rPr>
        <w:t>禮崩樂</w:t>
      </w:r>
      <w:proofErr w:type="gramEnd"/>
      <w:r w:rsidRPr="00A90879">
        <w:rPr>
          <w:rFonts w:ascii="Times New Roman" w:eastAsia="SimSun" w:hAnsi="Times New Roman" w:cs="Times New Roman"/>
          <w:b/>
          <w:bCs/>
          <w:sz w:val="22"/>
          <w:szCs w:val="22"/>
          <w14:ligatures w14:val="none"/>
        </w:rPr>
        <w:t>壞，</w:t>
      </w:r>
      <w:r w:rsidRPr="00A90879">
        <w:rPr>
          <w:rFonts w:ascii="Times New Roman" w:eastAsia="新細明體" w:hAnsi="Times New Roman" w:cs="Times New Roman"/>
          <w:b/>
          <w:bCs/>
          <w:sz w:val="22"/>
          <w:szCs w:val="22"/>
          <w14:ligatures w14:val="none"/>
        </w:rPr>
        <w:t>孔子思考所關心的基源問題，是重建禮樂文化的政治秩序，</w:t>
      </w:r>
      <w:proofErr w:type="gramStart"/>
      <w:r w:rsidRPr="00A90879">
        <w:rPr>
          <w:rFonts w:ascii="Times New Roman" w:eastAsia="新細明體" w:hAnsi="Times New Roman" w:cs="Times New Roman"/>
          <w:b/>
          <w:bCs/>
          <w:sz w:val="22"/>
          <w:szCs w:val="22"/>
          <w14:ligatures w14:val="none"/>
        </w:rPr>
        <w:t>故此孔子</w:t>
      </w:r>
      <w:proofErr w:type="gramEnd"/>
      <w:r w:rsidRPr="00A90879">
        <w:rPr>
          <w:rFonts w:ascii="Times New Roman" w:eastAsia="新細明體" w:hAnsi="Times New Roman" w:cs="Times New Roman"/>
          <w:b/>
          <w:bCs/>
          <w:sz w:val="22"/>
          <w:szCs w:val="22"/>
          <w14:ligatures w14:val="none"/>
        </w:rPr>
        <w:t>一生周</w:t>
      </w:r>
      <w:proofErr w:type="gramStart"/>
      <w:r w:rsidRPr="00A90879">
        <w:rPr>
          <w:rFonts w:ascii="Times New Roman" w:eastAsia="新細明體" w:hAnsi="Times New Roman" w:cs="Times New Roman"/>
          <w:b/>
          <w:bCs/>
          <w:sz w:val="22"/>
          <w:szCs w:val="22"/>
          <w14:ligatures w14:val="none"/>
        </w:rPr>
        <w:t>游</w:t>
      </w:r>
      <w:proofErr w:type="gramEnd"/>
      <w:r w:rsidRPr="00A90879">
        <w:rPr>
          <w:rFonts w:ascii="Times New Roman" w:eastAsia="新細明體" w:hAnsi="Times New Roman" w:cs="Times New Roman"/>
          <w:b/>
          <w:bCs/>
          <w:sz w:val="22"/>
          <w:szCs w:val="22"/>
          <w14:ligatures w14:val="none"/>
        </w:rPr>
        <w:t>列國，求重建禮樂文化，然而他一生的奔波幷無所成，春秋亂局持續，周代政治和文化未能重建。孔子思想遂由文化意識及文化重建的要求，轉爲一哲學的探索，就是要求爲禮樂文化立一個新的基礎，立根在人如何自我完成之上，由此而轉出其最重要的哲學概念：仁。仁是指「愛人」</w:t>
      </w:r>
      <w:r w:rsidRPr="00A90879">
        <w:rPr>
          <w:rFonts w:ascii="Times New Roman" w:eastAsia="新細明體" w:hAnsi="Times New Roman" w:cs="Times New Roman"/>
          <w:b/>
          <w:bCs/>
          <w:sz w:val="22"/>
          <w:szCs w:val="22"/>
          <w:vertAlign w:val="superscript"/>
          <w14:ligatures w14:val="none"/>
        </w:rPr>
        <w:footnoteReference w:id="8"/>
      </w:r>
      <w:r w:rsidRPr="00A90879">
        <w:rPr>
          <w:rFonts w:ascii="Times New Roman" w:eastAsia="新細明體" w:hAnsi="Times New Roman" w:cs="Times New Roman"/>
          <w:b/>
          <w:bCs/>
          <w:sz w:val="22"/>
          <w:szCs w:val="22"/>
          <w14:ligatures w14:val="none"/>
        </w:rPr>
        <w:t>、「己所不欲，勿施於人。」</w:t>
      </w:r>
      <w:r w:rsidRPr="00A90879">
        <w:rPr>
          <w:rFonts w:ascii="Times New Roman" w:eastAsia="新細明體" w:hAnsi="Times New Roman" w:cs="Times New Roman"/>
          <w:b/>
          <w:bCs/>
          <w:sz w:val="22"/>
          <w:szCs w:val="22"/>
          <w:vertAlign w:val="superscript"/>
          <w14:ligatures w14:val="none"/>
        </w:rPr>
        <w:footnoteReference w:id="9"/>
      </w:r>
      <w:r w:rsidRPr="00A90879">
        <w:rPr>
          <w:rFonts w:ascii="Times New Roman" w:eastAsia="新細明體" w:hAnsi="Times New Roman" w:cs="Times New Roman"/>
          <w:b/>
          <w:bCs/>
          <w:sz w:val="22"/>
          <w:szCs w:val="22"/>
          <w14:ligatures w14:val="none"/>
        </w:rPr>
        <w:t>「</w:t>
      </w:r>
      <w:proofErr w:type="gramStart"/>
      <w:r w:rsidRPr="00A90879">
        <w:rPr>
          <w:rFonts w:ascii="Times New Roman" w:eastAsia="新細明體" w:hAnsi="Times New Roman" w:cs="Times New Roman"/>
          <w:b/>
          <w:bCs/>
          <w:sz w:val="22"/>
          <w:szCs w:val="22"/>
          <w14:ligatures w14:val="none"/>
        </w:rPr>
        <w:t>己欲立而立</w:t>
      </w:r>
      <w:proofErr w:type="gramEnd"/>
      <w:r w:rsidRPr="00A90879">
        <w:rPr>
          <w:rFonts w:ascii="Times New Roman" w:eastAsia="新細明體" w:hAnsi="Times New Roman" w:cs="Times New Roman"/>
          <w:b/>
          <w:bCs/>
          <w:sz w:val="22"/>
          <w:szCs w:val="22"/>
          <w14:ligatures w14:val="none"/>
        </w:rPr>
        <w:t>人，己欲達而達人。」</w:t>
      </w:r>
      <w:r w:rsidRPr="00A90879">
        <w:rPr>
          <w:rFonts w:ascii="Times New Roman" w:eastAsia="新細明體" w:hAnsi="Times New Roman" w:cs="Times New Roman"/>
          <w:b/>
          <w:bCs/>
          <w:sz w:val="22"/>
          <w:szCs w:val="22"/>
          <w:vertAlign w:val="superscript"/>
          <w14:ligatures w14:val="none"/>
        </w:rPr>
        <w:footnoteReference w:id="10"/>
      </w:r>
      <w:r w:rsidRPr="00A90879">
        <w:rPr>
          <w:rFonts w:ascii="Times New Roman" w:eastAsia="新細明體" w:hAnsi="Times New Roman" w:cs="Times New Roman"/>
          <w:b/>
          <w:bCs/>
          <w:sz w:val="22"/>
          <w:szCs w:val="22"/>
          <w14:ligatures w14:val="none"/>
        </w:rPr>
        <w:t>「孝</w:t>
      </w:r>
      <w:proofErr w:type="gramStart"/>
      <w:r w:rsidRPr="00A90879">
        <w:rPr>
          <w:rFonts w:ascii="Times New Roman" w:eastAsia="新細明體" w:hAnsi="Times New Roman" w:cs="Times New Roman"/>
          <w:b/>
          <w:bCs/>
          <w:sz w:val="22"/>
          <w:szCs w:val="22"/>
          <w14:ligatures w14:val="none"/>
        </w:rPr>
        <w:t>悌</w:t>
      </w:r>
      <w:proofErr w:type="gramEnd"/>
      <w:r w:rsidRPr="00A90879">
        <w:rPr>
          <w:rFonts w:ascii="Times New Roman" w:eastAsia="新細明體" w:hAnsi="Times New Roman" w:cs="Times New Roman"/>
          <w:b/>
          <w:bCs/>
          <w:sz w:val="22"/>
          <w:szCs w:val="22"/>
          <w14:ligatures w14:val="none"/>
        </w:rPr>
        <w:t>也者，其為仁之本</w:t>
      </w:r>
      <w:proofErr w:type="gramStart"/>
      <w:r w:rsidRPr="00A90879">
        <w:rPr>
          <w:rFonts w:ascii="Times New Roman" w:eastAsia="新細明體" w:hAnsi="Times New Roman" w:cs="Times New Roman"/>
          <w:b/>
          <w:bCs/>
          <w:sz w:val="22"/>
          <w:szCs w:val="22"/>
          <w14:ligatures w14:val="none"/>
        </w:rPr>
        <w:t>歟</w:t>
      </w:r>
      <w:proofErr w:type="gramEnd"/>
      <w:r w:rsidRPr="00A90879">
        <w:rPr>
          <w:rFonts w:ascii="Times New Roman" w:eastAsia="新細明體" w:hAnsi="Times New Roman" w:cs="Times New Roman"/>
          <w:b/>
          <w:bCs/>
          <w:sz w:val="22"/>
          <w:szCs w:val="22"/>
          <w14:ligatures w14:val="none"/>
        </w:rPr>
        <w:t>。」</w:t>
      </w:r>
      <w:r w:rsidRPr="00A90879">
        <w:rPr>
          <w:rFonts w:ascii="Times New Roman" w:eastAsia="新細明體" w:hAnsi="Times New Roman" w:cs="Times New Roman"/>
          <w:b/>
          <w:bCs/>
          <w:sz w:val="22"/>
          <w:szCs w:val="22"/>
          <w:vertAlign w:val="superscript"/>
          <w14:ligatures w14:val="none"/>
        </w:rPr>
        <w:footnoteReference w:id="11"/>
      </w:r>
      <w:r w:rsidRPr="00A90879">
        <w:rPr>
          <w:rFonts w:ascii="Times New Roman" w:eastAsia="新細明體" w:hAnsi="Times New Roman" w:cs="Times New Roman"/>
          <w:b/>
          <w:bCs/>
          <w:sz w:val="22"/>
          <w:szCs w:val="22"/>
          <w14:ligatures w14:val="none"/>
        </w:rPr>
        <w:t>核心義理在仁愛、感通及親情。</w:t>
      </w:r>
    </w:p>
    <w:p w14:paraId="17EAEB04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Times New Roman" w:eastAsia="新細明體" w:hAnsi="Times New Roman" w:cs="Times New Roman"/>
          <w:b/>
          <w:bCs/>
          <w:sz w:val="22"/>
          <w:szCs w:val="22"/>
          <w14:ligatures w14:val="none"/>
        </w:rPr>
        <w:t>「仁」是人內在的「仁愛和感通」品質，這品質的實現，需要通過反求諸己的自省修持，這就是中國內在修工夫的開始。</w:t>
      </w:r>
    </w:p>
    <w:p w14:paraId="2A46B020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由於射禮可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通過禮儀以培養內心，孔子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繼承射禮的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正諸己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」精神，將之放入六藝中，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稱射禮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為君子之爭，曰：「君子無所爭。必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也射乎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！揖讓而升，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下而飲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。其爭也君子。」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12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 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這是以禮來建立互相尊敬，敬人必先敬己，敬己須正己，由此而成自省的工夫，故《中庸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·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》說：「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射有似乎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君子。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失諸正鵠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反求諸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其身。」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13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射箭要準確，須不斷自省己身以改善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，這成為自省文化的開始。</w:t>
      </w:r>
    </w:p>
    <w:p w14:paraId="74DF93E3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「求反諸己」、「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反求諸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其身」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均是一種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自省工夫，是内心對自己身心的逆覺觀照，改進內在的動念，發而為對身體行為外在的恰當表現，帶來德行改進，這是中國修養工夫之始源，故孔子重自省工夫，孔子的自省，可分為五階段理解：</w:t>
      </w:r>
    </w:p>
    <w:p w14:paraId="40396A9E" w14:textId="77777777" w:rsidR="00A90879" w:rsidRPr="00A90879" w:rsidRDefault="00A90879" w:rsidP="00A90879">
      <w:pPr>
        <w:widowControl/>
        <w:numPr>
          <w:ilvl w:val="0"/>
          <w:numId w:val="1"/>
        </w:numPr>
        <w:spacing w:line="259" w:lineRule="auto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內自省：「見賢思齊焉，見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不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賢而內自省也。」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14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自省始於敬仰他人的賢德，檢討自己內在心志，能否與賢人一樣。見他人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不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賢，內在自省，求使自己做到賢德，這是內心的反省，持續性的自我觀察。</w:t>
      </w:r>
    </w:p>
    <w:p w14:paraId="75BC12AD" w14:textId="77777777" w:rsidR="00A90879" w:rsidRPr="00A90879" w:rsidRDefault="00A90879" w:rsidP="00A90879">
      <w:pPr>
        <w:widowControl/>
        <w:numPr>
          <w:ilvl w:val="0"/>
          <w:numId w:val="1"/>
        </w:numPr>
        <w:spacing w:line="259" w:lineRule="auto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內自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訟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：「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吾未見能見其過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而內自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訟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者也。」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15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內在自省，須檢討自己的罪過，孔子稱內在檢討為「內自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訟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」，這是內在審察心中犯的過錯，使自己改過遷善，德行充實。</w:t>
      </w:r>
    </w:p>
    <w:p w14:paraId="4B256A89" w14:textId="77777777" w:rsidR="00A90879" w:rsidRPr="00A90879" w:rsidRDefault="00A90879" w:rsidP="00A90879">
      <w:pPr>
        <w:widowControl/>
        <w:numPr>
          <w:ilvl w:val="0"/>
          <w:numId w:val="1"/>
        </w:numPr>
        <w:spacing w:line="259" w:lineRule="auto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觀過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：「人之過也，各於其黨。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觀過斯知仁矣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16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人的過錯會因同類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(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黨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)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的人相助而隱匿。故人要先擺脱群黨的隱匿過錯，獨立内在觀照，由反省去改過，即可揭示仁的價值。</w:t>
      </w:r>
    </w:p>
    <w:p w14:paraId="7574F4FD" w14:textId="77777777" w:rsidR="00A90879" w:rsidRPr="00A90879" w:rsidRDefault="00A90879" w:rsidP="00A90879">
      <w:pPr>
        <w:widowControl/>
        <w:numPr>
          <w:ilvl w:val="0"/>
          <w:numId w:val="1"/>
        </w:numPr>
        <w:spacing w:line="259" w:lineRule="auto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內省不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疚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：「內省不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疚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，夫何憂何懼？」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17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 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去除群黨影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响後，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人可不斷審察自己過錯，若做到內心無所悔吝，則對人生無所憂懼。</w:t>
      </w:r>
    </w:p>
    <w:p w14:paraId="22E78B58" w14:textId="77777777" w:rsidR="00A90879" w:rsidRPr="00A90879" w:rsidRDefault="00A90879" w:rsidP="00A90879">
      <w:pPr>
        <w:widowControl/>
        <w:numPr>
          <w:ilvl w:val="0"/>
          <w:numId w:val="1"/>
        </w:numPr>
        <w:spacing w:line="259" w:lineRule="auto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克己復禮為仁：「克己復禮為仁，一日克己復禮，天下歸仁焉。為仁由己，而由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人乎哉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？」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18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內省不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疚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，內心由過錯中釋放，可進一步克己，即克制自己的個人私欲，回復到人與人的感通，以合理之心對待他人，即可建立社會的合理關係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(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禮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)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        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人人能實現內外全德，達至天下歸仁。仁是孔子的核心價值。這種自省之目的，最終是天下歸仁。</w:t>
      </w:r>
    </w:p>
    <w:p w14:paraId="27D96525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這自省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之學漸成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儒家修養工夫的傳承，曾子在回答孔子提問時說：「吾日三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省吾身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，爲人謀而不忠乎？與朋友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交而不信乎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？傳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不習乎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？」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19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曾子每日自省生活上的思想動念，將孔子的道德實踐工夫，從内心落實到具體生活，發展成儒家全方位的修養傳统</w:t>
      </w:r>
      <w:r w:rsidRPr="00A90879">
        <w:rPr>
          <w:rFonts w:ascii="Calibri" w:eastAsia="新細明體" w:hAnsi="Calibri" w:cs="Times New Roman"/>
          <w:b/>
          <w:bCs/>
          <w:kern w:val="0"/>
          <w:szCs w:val="22"/>
          <w14:ligatures w14:val="none"/>
        </w:rPr>
        <w:t>。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修養工夫之目的，是要實現仁的價值，終至天下歸仁。如前所言，「仁」是人內在的「仁愛和感通」品質，但如何論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証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這品質是人類普遍的價值，人人應實現的呢？這就須孟子來完成這理論的發展。</w:t>
      </w:r>
    </w:p>
    <w:p w14:paraId="5A09FC6E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</w:p>
    <w:p w14:paraId="4C25E672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8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8"/>
          <w:szCs w:val="22"/>
          <w14:ligatures w14:val="none"/>
        </w:rPr>
        <w:t>孟子建構人性仁愛本體論</w:t>
      </w:r>
    </w:p>
    <w:p w14:paraId="65067F20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孟子生於戰國時代，</w:t>
      </w:r>
      <w:r w:rsidRPr="00A90879">
        <w:rPr>
          <w:rFonts w:ascii="Times New Roman" w:eastAsia="新細明體" w:hAnsi="Times New Roman" w:cs="Times New Roman"/>
          <w:b/>
          <w:bCs/>
          <w14:ligatures w14:val="none"/>
        </w:rPr>
        <w:t>孟子描述這時代是「</w:t>
      </w:r>
      <w:proofErr w:type="gramStart"/>
      <w:r w:rsidRPr="00A90879">
        <w:rPr>
          <w:rFonts w:ascii="Times New Roman" w:eastAsia="新細明體" w:hAnsi="Times New Roman" w:cs="Times New Roman"/>
          <w:b/>
          <w:bCs/>
          <w14:ligatures w14:val="none"/>
        </w:rPr>
        <w:t>世衰道</w:t>
      </w:r>
      <w:proofErr w:type="gramEnd"/>
      <w:r w:rsidRPr="00A90879">
        <w:rPr>
          <w:rFonts w:ascii="Times New Roman" w:eastAsia="新細明體" w:hAnsi="Times New Roman" w:cs="Times New Roman"/>
          <w:b/>
          <w:bCs/>
          <w14:ligatures w14:val="none"/>
        </w:rPr>
        <w:t>微，邪說暴行有作，臣</w:t>
      </w:r>
      <w:proofErr w:type="gramStart"/>
      <w:r w:rsidRPr="00A90879">
        <w:rPr>
          <w:rFonts w:ascii="Times New Roman" w:eastAsia="新細明體" w:hAnsi="Times New Roman" w:cs="Times New Roman"/>
          <w:b/>
          <w:bCs/>
          <w14:ligatures w14:val="none"/>
        </w:rPr>
        <w:t>弒其君者</w:t>
      </w:r>
      <w:proofErr w:type="gramEnd"/>
      <w:r w:rsidRPr="00A90879">
        <w:rPr>
          <w:rFonts w:ascii="Times New Roman" w:eastAsia="新細明體" w:hAnsi="Times New Roman" w:cs="Times New Roman"/>
          <w:b/>
          <w:bCs/>
          <w14:ligatures w14:val="none"/>
        </w:rPr>
        <w:t>有之，子</w:t>
      </w:r>
      <w:proofErr w:type="gramStart"/>
      <w:r w:rsidRPr="00A90879">
        <w:rPr>
          <w:rFonts w:ascii="Times New Roman" w:eastAsia="新細明體" w:hAnsi="Times New Roman" w:cs="Times New Roman"/>
          <w:b/>
          <w:bCs/>
          <w14:ligatures w14:val="none"/>
        </w:rPr>
        <w:t>弒</w:t>
      </w:r>
      <w:proofErr w:type="gramEnd"/>
      <w:r w:rsidRPr="00A90879">
        <w:rPr>
          <w:rFonts w:ascii="Times New Roman" w:eastAsia="新細明體" w:hAnsi="Times New Roman" w:cs="Times New Roman"/>
          <w:b/>
          <w:bCs/>
          <w14:ligatures w14:val="none"/>
        </w:rPr>
        <w:t>其父者有之</w:t>
      </w:r>
      <w:r w:rsidRPr="00A90879">
        <w:rPr>
          <w:rFonts w:ascii="Times New Roman" w:eastAsia="SimSun" w:hAnsi="Times New Roman" w:cs="Times New Roman"/>
          <w:b/>
          <w:bCs/>
          <w14:ligatures w14:val="none"/>
        </w:rPr>
        <w:t>」</w:t>
      </w:r>
      <w:r w:rsidRPr="00A90879">
        <w:rPr>
          <w:rFonts w:ascii="Times New Roman" w:eastAsia="SimSun" w:hAnsi="Times New Roman" w:cs="Times New Roman"/>
          <w:b/>
          <w:bCs/>
          <w:vertAlign w:val="superscript"/>
          <w14:ligatures w14:val="none"/>
        </w:rPr>
        <w:footnoteReference w:id="20"/>
      </w:r>
      <w:r w:rsidRPr="00A90879">
        <w:rPr>
          <w:rFonts w:ascii="Times New Roman" w:eastAsia="SimSun" w:hAnsi="Times New Roman" w:cs="Times New Roman"/>
          <w:b/>
          <w:bCs/>
          <w14:ligatures w14:val="none"/>
        </w:rPr>
        <w:t>其</w:t>
      </w:r>
      <w:proofErr w:type="gramStart"/>
      <w:r w:rsidRPr="00A90879">
        <w:rPr>
          <w:rFonts w:ascii="Times New Roman" w:eastAsia="SimSun" w:hAnsi="Times New Roman" w:cs="Times New Roman"/>
          <w:b/>
          <w:bCs/>
          <w14:ligatures w14:val="none"/>
        </w:rPr>
        <w:t>時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霸術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興盛，相對主義流行，不相信人類有普遍的價值。孟子之理想是「我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亦欲正人心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，息邪說，距跛行，放淫辭。」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21"/>
      </w:r>
    </w:p>
    <w:p w14:paraId="4547D50D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其基源問題是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: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如何爲孔子的仁義思想立根，以破相對主義。核心就是建立仁的理念於普遍人性之上，這是人的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善性，以仁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心為本。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孟子以仁是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惻隱之心，表現為對他人苦難的不忍，是一種人性仁愛的流露。他說：「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所以謂人皆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有不忍人之心者，今人乍見孺子將入於井，皆有怵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惕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惻隱之心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，非所以內交於孺子之父母也，非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所以要譽於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鄉黨朋友也，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非惡其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聲而然也。由是觀之，無惻隱之心，非人也；無羞惡之心，非人也；無辭讓之心，非人也；無是非之心，非人也。惻隱之心，仁之端也；羞惡之心，義之端也；辭讓之心，禮之端也；是非之心，智之端也。」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22"/>
      </w:r>
    </w:p>
    <w:p w14:paraId="6FC5392C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孟子從人生活中不忍心的流露，如「乍見孺子將入於井」，通過終止外在原因的判斷，包括去除「內交於孺子之父母」、「譽於鄉黨朋友」、「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惡其聲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」等推測性動機，正視其根源是来自人內在的「惻隱之心」，以論証這是人特有的本性，是仁之端，再由之推論羞惡之心，義之端也；辭讓之心，禮之端也；是非之心，智之端也。無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這四端乃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「非人也」。孟子說：「仁者愛人，有禮者敬人。愛人者，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人恆愛之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;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敬人者，人恆敬之。」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23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說明仁的「惻隱之心」亦即愛人的心，禮的辭讓之心，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即敬人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之心。四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端以仁為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本，亦即以「仁愛」為本。</w:t>
      </w:r>
    </w:p>
    <w:p w14:paraId="7C2F4AEF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孟子提出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仁義禮智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四端為人的本性，他指出：「仁、義、禮、智，非由外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鑠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我也，我固有之也，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弗思耳矣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24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君子所性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，仁義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禮智根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於心。」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25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孟子也說明這普遍人性是人異於禽獸的本性：「人之所以異於禽獸者幾希，庶民去之，君子存之。」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26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這一點點的不同，就是善，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人存養這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不同，就成為君子。</w:t>
      </w:r>
    </w:p>
    <w:p w14:paraId="3D5AC011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孟子建立人普遍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的善性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，就是人內在與聖人共同的本性，故他指出：「聖人與我同類者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…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…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心之所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同然者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，何也？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謂理也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，義也。聖人先得我心之所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同然耳。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27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又「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曹交問曰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：人皆可以為堯舜，有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諸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？孟子曰：然。」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28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孟子肯定人心皆具有本然同體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之善性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聖人正是實現這同一本性者，故任何人都和聖人同類，具有同一的本性、同一天理、同一正義。現實生活中的個人，能夠以堯舜等聖人為所追求的目標，可成為堯舜一樣的人。那麽聖人不再是神話型的人物，而是每一人自己具有這成聖之本質，可以成聖人。</w:t>
      </w:r>
    </w:p>
    <w:p w14:paraId="5D870EC9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孟子在此建構人性仁愛的本體論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(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或存在論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)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，以人存在的本體是美善的聖人性，保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証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人性仁愛是普遍的本體真理，破除戰國年代的相對主義，為民族文化提供共同的價值基礎。這儒家思想建造了中國文化的特性，認為人人具有最高完美人格的潛在本性，成為聖人是可能的，由此確立人人可成聖的理論，。</w:t>
      </w:r>
    </w:p>
    <w:p w14:paraId="214F2138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人性仁愛本體論的落實，須要一個自我成聖的過程，將這聖人本性實現出來，必須建立修養的實踐工夫，自省及存養心性的純善，免得本性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放失、梏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亡、陷溺，喪失此價值之本源，才可達至成為聖人的理想。由此孟子開拓了成聖之學，成為歷代儒家的核心思想。</w:t>
      </w:r>
    </w:p>
    <w:p w14:paraId="73BA1FE8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8"/>
          <w:szCs w:val="22"/>
          <w14:ligatures w14:val="none"/>
        </w:rPr>
      </w:pP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8"/>
          <w:szCs w:val="22"/>
          <w14:ligatures w14:val="none"/>
        </w:rPr>
        <w:t>孟子論養浩然之氣</w:t>
      </w:r>
      <w:proofErr w:type="gramEnd"/>
    </w:p>
    <w:p w14:paraId="4666FAD2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孟子的修養工夫，重在一個「養」字，人要養氣和養性，這是一種修養實踐的哲學。</w:t>
      </w:r>
    </w:p>
    <w:p w14:paraId="77B127B9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孟子提出「養氣」的修養工夫，他說：「我知言，我善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養吾浩然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之氣。」浩然之氣的描述是「其為氣也，至大至剛，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以直養而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無害，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則塞於天地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之間。其為氣也，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配義與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道；無是，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餒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也。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是集義所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生者，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非義襲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而取之也。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…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必有事焉而勿正，心勿忘，勿助長也。」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29"/>
      </w:r>
    </w:p>
    <w:p w14:paraId="624DD173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所謂知言，是一種清明的視野，基於對本體真理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的悟解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，清楚分辨世間各言論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思辯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的來龍去脈，而無疑惑。朱熹注：「知言者，盡心知性，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於凡天下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之言，無不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有以究極其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理，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而識其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是非得失之所以然也。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…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蓋惟知言，則有以明夫道義，而於天下之事無所疑；」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30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即表示若已掌握心性之道，由此能明辯分析天下人用語言的是非得失。知言者．掌握道義，對天下事了然於胸，不會因觀點分歧而有動搖。</w:t>
      </w:r>
    </w:p>
    <w:p w14:paraId="5E6922AF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如何了解「浩然之氣」呢？「氣」作為一哲學理念，一般與宇宙生成論相關，必須先了解孟子的人性仁愛本體論，如何與宇宙生成論接合。孟子的本體論本質上是天人同體，他說：「夫君子，所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過者化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，所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存者神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，上下與天地同流。」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31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君子指有德者，朱熹認為是「聖人之通稱」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32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，聖人身經之處帶來多人的感化，其存留下的是「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聖而不可知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之」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33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的神妙價值，即至聖莫測的神性，聖人本身就是人性本體美善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的流現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。之所以說：「上下與天地同流」因孟子以人性和天地人同體，故這種聖人生命可上下與天地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共同創化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，參贊天地的化育。孟子的人性仁愛本體即是宇宙根源，這本體真理如何在宇宙論上能生成萬物呢？這宇宙生成關鍵思想，就是「氣」的理念。</w:t>
      </w:r>
    </w:p>
    <w:p w14:paraId="026481B9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孟子提出的「浩然之氣」，就是由人性本體論到宇宙生成的理論發展，孟子由人性四端揭示仁愛本體，再由這本體發展宇宙生成論，關鍵理念就是「浩然之氣」。由宇宙本體衍生浩瀚無盡、生息不已的生命力，這稱為氣，由元氣生成天地，孟子描述之為「浩然之氣」，朱熹解：「浩然，盛大流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之貌。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34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指天地整體浩大的創發，「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塞於天地之間」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。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漢何休在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《公，羊解詁》說：「元者，氣也，無形以起，有形以生，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造起天地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，天地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之始也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35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說明氣是天地之始，宇宙根源，本是無形，生成有形萬物。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元氣創生天地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萬物及人性美善，是一切物質、生命及仁義的力量。孟子描述其至大至剛，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塞於天地之間，可說是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天地之正氣。</w:t>
      </w:r>
    </w:p>
    <w:p w14:paraId="64D14A21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孟子提出要「善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養吾浩然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之氣。」因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這氣是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宇宙之生命力，且「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配義與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道」，是美善的生命力，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這美善力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在人心和萬物中之真實存在，是道義價值的根源，即天理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(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道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)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和正義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(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義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)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在宇宙和人心的力量。人要「善養」這宇宙性的正氣，須小心培育這本然之正氣，使其自然合理地生長。朱熹說：「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失養故餒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，惟孟子為善養之，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以復其初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也。」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36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人生若不養正氣，則會使其「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餒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」毁，《説文》解：「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魚敗曰餒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37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即敗壞。人須善養這浩然之氣，使人不斷回復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其始初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之善，不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忘初心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，以這原初之善為生命的核心，這就是修養的工夫，則人生可沛然流露仁愛和美善。</w:t>
      </w:r>
    </w:p>
    <w:p w14:paraId="4C15CF79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孟子進而指出，這修養工夫「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是集義所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生者，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非義襲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而取之也。」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要存養這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正氣，是要心志集中，事事不斷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地按義而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活，孟子曾說：「仁，人心也；義，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人路也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38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，又說：「仁，人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之安宅也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；義，人之正路也。」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39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義是貫徹仁的行動，故義不能離開仁，正義是行出仁愛的心，「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集義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」是使仁愛的心與正義的行動成為常態，就可生出正氣的生命，這不是來自「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襲義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」，即靠偶然行善，或依從外在的道德法則而得。道德的美善，只能由本心自身而自然流出。</w:t>
      </w:r>
    </w:p>
    <w:p w14:paraId="7BC52C9F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孟子再指出，修養工夫須隨順人性自在而發展，「必有事焉而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勿正，心勿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忘，勿助長也。」所謂「正」，焦循解「正之為止，即已止之止。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…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心勿忘則不止也。」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40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「必有事焉而勿正」，即事事行仁義而不停止。「心勿忘，勿助長」，是心中的自我調節，不忘記行仁義，也不過度外在地摧迫仁義，這是朱熹所謂「集義養氣之節度也」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41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。王陽明有一很到位的解釋：「『必有事焉』者，只是時時去『集義』。若時時去用『必有事』的功夫，而或有時間斷，此便是忘了，即須『勿忘』；時時去用『必有事』的功夫，而或有時欲速求效，此便是助了，即須『勿助『。其功夫全在『必有事焉』上用；『勿忘勿助』，只就其間提撕警覺而已。若是功夫原不間斷，即不須更說勿忘；原不欲速求效，即不須更說勿助。此其功夫何等明白簡易！何等洒脫自在！今卻不去『必有事』上用功，而乃懸空守着一個『勿忘勿助』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42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這一切是養氣工夫，使美善之正氣，在生活上源源不息而流出。</w:t>
      </w:r>
    </w:p>
    <w:p w14:paraId="564DBD88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朱熹說：「養氣，則有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以配夫道義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，而於天下之事無所懼；此其所以當大任而不動心也。」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只要存養道義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之氣，則心中無懼。無懼即可不動心。</w:t>
      </w:r>
    </w:p>
    <w:p w14:paraId="7F6CE84A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傅佩榮教授對「不動心」有很淺白而到位的解釋：「所謂不動心，是說：不論處在何種情況，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是得君行道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、兼善天下，或是懷才不遇、有志難伸，自己的心情都不受影響。何以能夠如此？因為心中對於人生之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“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應該如何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”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有了定見，只要肯定自己走在道義的路上，就不會在乎世俗的成敗與得失。孟子說：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“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君子有終身之憂，無一朝之患。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”(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《孟子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·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離婁下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》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)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所憂的是沒有成為像舜一樣的聖人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，而毫不擔心一時的困擾。」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43"/>
      </w:r>
    </w:p>
    <w:p w14:paraId="10184F94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8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8"/>
          <w:szCs w:val="22"/>
          <w14:ligatures w14:val="none"/>
        </w:rPr>
        <w:t>孟子存心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8"/>
          <w:szCs w:val="22"/>
          <w14:ligatures w14:val="none"/>
        </w:rPr>
        <w:t>養性事天之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8"/>
          <w:szCs w:val="22"/>
          <w14:ligatures w14:val="none"/>
        </w:rPr>
        <w:t>學</w:t>
      </w:r>
    </w:p>
    <w:p w14:paraId="0FB19B70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8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善養浩然之氣，即能不動心，不動心是心無所懼，此亦孔子「內省不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疚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，夫何憂何懼？」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44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的境界，孟子說：「我四十不動心。」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45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亦同於孔子「四十而不惑」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46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的體悟。這是繼承孔子內省精的修養工夫。</w:t>
      </w:r>
    </w:p>
    <w:p w14:paraId="2BA4D3C8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這修養也可使心性與天相通，此中孟子提到「存心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養性事天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」：「盡其心者，知其性也。知其性，則知天矣。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存其心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，養其性，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所以事天也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。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殀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壽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不貳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，修身以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俟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之，所以立命也。」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47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孟子提出盡心可知人本性，據孫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奭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疏，盡心是「人能盡極其心，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以思行善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48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至於心的定義，朱熹注是「心者，人之神明，所以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具眾理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而應萬事者也。」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49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心即人的靈性，可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明悟心中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的本性天理，及回應人生各事件。孟子所言的心性，他自己清楚定義是「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君子所性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，仁義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禮智根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於心。」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50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極盡實現心中的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仁義禮智性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，即可知人性之純善本體，而知這本體即是天的本體，趙岐所謂「知天道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之貴善者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也。」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51"/>
      </w:r>
    </w:p>
    <w:p w14:paraId="6D5D6D0E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孟子在此說明心、性、天本為一體，天人是合一，宇宙和人性的仁愛是同體的。孟子跟着描述通過實踐工夫去彰顯這心性天本體，就是「存心養性事天」，朱子定義說：「存，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謂操而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不舍；養，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謂順而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不害。事，則奉承而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不違也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52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存養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」即不停止地持守，隨順而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不塞礙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心性，養育仁愛泉源，「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事天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」是指事奉宇宙的仁愛真理，做法據朱熹講是「奉承而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不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違」，據趙歧講是「惟仁是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與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。行與天合」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53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不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違」是不窒息，「行與天合」是主動行仁。這不是從宗教儀式等外在行為去「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事天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」，「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事天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」重在人自覺地按天道人性的價值而行，這須人內在「存心養性」的修養工夫，使人的一切生活行為，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均在實現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天賦的仁愛本體，與天道生息同一。</w:t>
      </w:r>
    </w:p>
    <w:p w14:paraId="342DA447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有了這種對終極宇宙人性的體悟，須「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殀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壽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不貳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，修身以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俟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之」，即不論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短壽或長壽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，都不改變所信守的宇宙人性天理，修養身心，以等待每個人的際遇，「修正其身，以待天命」能正面在各種命運際遇中實現價值。故說「所以立命也。」</w:t>
      </w:r>
    </w:p>
    <w:p w14:paraId="56040ABD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孟子修養工夫是存心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養性事天之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學，其理論立基在聖人之學。孟子要為孔子的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仁心立人性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的根基，提出人具普遍的美善仁愛本性，即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仁義禮智性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，在人生顯為四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善端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，根於本體人性，這人性就是聖人性，這聖人性與天同體，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即同於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宇宙本體。宇宙生成天地人的生命力是浩然之氣，人存養心性浩然之氣，是一切修養工夫之本。</w:t>
      </w:r>
    </w:p>
    <w:p w14:paraId="741CD16B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由聖人之學的路向，人本身的自我成聖，即成為人生的理想目的。儒學的《大學》的八達德、《中庸》的誠，到宋明理學的涵養用敬、存天理去人欲、致良知等，發展豐富的修養工夫反省。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同時也影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响了道家的成仙之學、內丹之學等，從修養以體証宇宙本體天理，成為中國文化的特性。</w:t>
      </w:r>
    </w:p>
    <w:p w14:paraId="109AF122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32"/>
          <w:szCs w:val="22"/>
          <w14:ligatures w14:val="none"/>
        </w:rPr>
      </w:pPr>
    </w:p>
    <w:p w14:paraId="23215130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3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32"/>
          <w:szCs w:val="22"/>
          <w14:ligatures w14:val="none"/>
        </w:rPr>
        <w:t>中華神學的成聖之學</w:t>
      </w:r>
    </w:p>
    <w:p w14:paraId="50345BE1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8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8"/>
          <w:szCs w:val="22"/>
          <w14:ligatures w14:val="none"/>
        </w:rPr>
        <w:t>保羅對競技的反省</w:t>
      </w:r>
    </w:p>
    <w:p w14:paraId="03B59E7C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從中華神學去思考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周代射禮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及孔子的內省思想，中國古文化重視禮，孔子及儒家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對射禮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的反省，是對競技運動的哲學及道德的思考，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由射禮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可使人自省，而反求諸己。身處希臘羅馬文化中的使徒保羅，他對當時流行的奧運會及各種競技，也作出靈修學的反省。</w:t>
      </w:r>
    </w:p>
    <w:p w14:paraId="698DA30E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希臘羅馬最重要的競技就是奧運會，根據希羅多德（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Herodotus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）記載，波斯打算征伐希臘時，大將軍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迪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冠尼斯（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Tigranes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）聽聞希臘奧運會勝利者的獎品不是金錢，只不過是橄欖樹枝造的桂冠，十分驚訝，對說客孟多里奴斯（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Mardonius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）說：「天啊，孟多里奴斯，你遊說我們攻打甚麼人，他們不是為了金錢，卻為光榮與成就而戰」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54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。這是波斯人在希臘以外的世界，開始知道奧運會，不只是一場運動競技，卻是一種精神，一種追求光榮與成就的理想。這桂冠的光榮與成就，是在群體競技中的個人出色表現。</w:t>
      </w:r>
    </w:p>
    <w:p w14:paraId="79B55023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奧運會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期間，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希臘人散居各地，都回來參與運動，是古代世界的國際性大事。期間各國停戰（</w:t>
      </w:r>
      <w:proofErr w:type="spell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ekecheiria</w:t>
      </w:r>
      <w:proofErr w:type="spell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），精神在和平，而和平的意義不單在國際間建立超政治，文化衝突的合作，也是要求人在競賽中，可以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達致極致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完美（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arete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），是人身體的最高和諧狀態，與天地、與團隊，與自己身體的和諧。到羅馬時期，則是帝國內各地的人都可來參加，形成大帝國各區的和諧。</w:t>
      </w:r>
    </w:p>
    <w:p w14:paraId="3BD038D0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新細明體" w:eastAsia="新細明體" w:hAnsi="新細明體" w:cs="Times New Roman"/>
          <w:b/>
          <w:bCs/>
          <w:sz w:val="22"/>
          <w14:ligatures w14:val="none"/>
        </w:rPr>
        <w:t>奧運會也是</w:t>
      </w:r>
      <w:proofErr w:type="gramStart"/>
      <w:r w:rsidRPr="00A90879">
        <w:rPr>
          <w:rFonts w:ascii="新細明體" w:eastAsia="新細明體" w:hAnsi="新細明體" w:cs="Times New Roman"/>
          <w:b/>
          <w:bCs/>
          <w:sz w:val="22"/>
          <w14:ligatures w14:val="none"/>
        </w:rPr>
        <w:t>一</w:t>
      </w:r>
      <w:proofErr w:type="gramEnd"/>
      <w:r w:rsidRPr="00A90879">
        <w:rPr>
          <w:rFonts w:ascii="新細明體" w:eastAsia="新細明體" w:hAnsi="新細明體" w:cs="Times New Roman"/>
          <w:b/>
          <w:bCs/>
          <w:sz w:val="22"/>
          <w14:ligatures w14:val="none"/>
        </w:rPr>
        <w:t>神聖的祭禮，各地的人帶來其對天帝宙斯（Zeus）的獻祭，運動員則祈禱求有最佳表現。故此地理與歷史學家斯特拉波（Strabo）在其名著《地理學》中，稱之為「世界最偉大的運動會」，而其桂冠「被視為神聖的獎品」。</w:t>
      </w:r>
      <w:r w:rsidRPr="00A90879">
        <w:rPr>
          <w:rFonts w:ascii="新細明體" w:eastAsia="新細明體" w:hAnsi="新細明體" w:cs="Times New Roman"/>
          <w:b/>
          <w:bCs/>
          <w:sz w:val="22"/>
          <w:vertAlign w:val="superscript"/>
          <w14:ligatures w14:val="none"/>
        </w:rPr>
        <w:footnoteReference w:id="55"/>
      </w:r>
    </w:p>
    <w:p w14:paraId="3E206532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新細明體" w:eastAsia="新細明體" w:hAnsi="新細明體" w:cs="Times New Roman"/>
          <w:b/>
          <w:bCs/>
          <w:sz w:val="22"/>
          <w14:ligatures w14:val="none"/>
        </w:rPr>
        <w:t>與</w:t>
      </w:r>
      <w:proofErr w:type="gramStart"/>
      <w:r w:rsidRPr="00A90879">
        <w:rPr>
          <w:rFonts w:ascii="新細明體" w:eastAsia="新細明體" w:hAnsi="新細明體" w:cs="Times New Roman"/>
          <w:b/>
          <w:bCs/>
          <w:sz w:val="22"/>
          <w14:ligatures w14:val="none"/>
        </w:rPr>
        <w:t>中國射禮相似</w:t>
      </w:r>
      <w:proofErr w:type="gramEnd"/>
      <w:r w:rsidRPr="00A90879">
        <w:rPr>
          <w:rFonts w:ascii="新細明體" w:eastAsia="新細明體" w:hAnsi="新細明體" w:cs="Times New Roman"/>
          <w:b/>
          <w:bCs/>
          <w:sz w:val="22"/>
          <w14:ligatures w14:val="none"/>
        </w:rPr>
        <w:t>的，希臘羅馬在競技中要贏得桂冠，不單某運動員在國際競技中的突出表現，更重要的</w:t>
      </w:r>
      <w:proofErr w:type="gramStart"/>
      <w:r w:rsidRPr="00A90879">
        <w:rPr>
          <w:rFonts w:ascii="新細明體" w:eastAsia="新細明體" w:hAnsi="新細明體" w:cs="Times New Roman"/>
          <w:b/>
          <w:bCs/>
          <w:sz w:val="22"/>
          <w14:ligatures w14:val="none"/>
        </w:rPr>
        <w:t>是其達致</w:t>
      </w:r>
      <w:proofErr w:type="gramEnd"/>
      <w:r w:rsidRPr="00A90879">
        <w:rPr>
          <w:rFonts w:ascii="新細明體" w:eastAsia="新細明體" w:hAnsi="新細明體" w:cs="Times New Roman"/>
          <w:b/>
          <w:bCs/>
          <w:sz w:val="22"/>
          <w14:ligatures w14:val="none"/>
        </w:rPr>
        <w:t>希臘人的所謂「極致完美」（arete）理想。希臘人的極致完美，是指人在其限制和命運中，可以達致的最佳理想狀態。運動只是其中一種，另外也包括演說、修辭及理性思維等。</w:t>
      </w:r>
    </w:p>
    <w:p w14:paraId="7BD6FCA3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新細明體" w:eastAsia="新細明體" w:hAnsi="新細明體" w:cs="Times New Roman"/>
          <w:b/>
          <w:bCs/>
          <w:sz w:val="22"/>
          <w14:ligatures w14:val="none"/>
        </w:rPr>
        <w:t>使徒保羅熟悉這種競技精神，在人靈性實踐上反省競技精神，認為人靈性修養與競技的操練相似：「豈</w:t>
      </w:r>
      <w:proofErr w:type="gramStart"/>
      <w:r w:rsidRPr="00A90879">
        <w:rPr>
          <w:rFonts w:ascii="新細明體" w:eastAsia="新細明體" w:hAnsi="新細明體" w:cs="Times New Roman"/>
          <w:b/>
          <w:bCs/>
          <w:sz w:val="22"/>
          <w14:ligatures w14:val="none"/>
        </w:rPr>
        <w:t>不知在場上</w:t>
      </w:r>
      <w:proofErr w:type="gramEnd"/>
      <w:r w:rsidRPr="00A90879">
        <w:rPr>
          <w:rFonts w:ascii="新細明體" w:eastAsia="新細明體" w:hAnsi="新細明體" w:cs="Times New Roman"/>
          <w:b/>
          <w:bCs/>
          <w:sz w:val="22"/>
          <w14:ligatures w14:val="none"/>
        </w:rPr>
        <w:t>賽跑的都跑，但得獎賞的只有一人？你們也當這樣跑，</w:t>
      </w:r>
      <w:proofErr w:type="gramStart"/>
      <w:r w:rsidRPr="00A90879">
        <w:rPr>
          <w:rFonts w:ascii="新細明體" w:eastAsia="新細明體" w:hAnsi="新細明體" w:cs="Times New Roman"/>
          <w:b/>
          <w:bCs/>
          <w:sz w:val="22"/>
          <w14:ligatures w14:val="none"/>
        </w:rPr>
        <w:t>好叫你們</w:t>
      </w:r>
      <w:proofErr w:type="gramEnd"/>
      <w:r w:rsidRPr="00A90879">
        <w:rPr>
          <w:rFonts w:ascii="新細明體" w:eastAsia="新細明體" w:hAnsi="新細明體" w:cs="Times New Roman"/>
          <w:b/>
          <w:bCs/>
          <w:sz w:val="22"/>
          <w14:ligatures w14:val="none"/>
        </w:rPr>
        <w:t>得著獎賞。</w:t>
      </w:r>
      <w:proofErr w:type="gramStart"/>
      <w:r w:rsidRPr="00A90879">
        <w:rPr>
          <w:rFonts w:ascii="新細明體" w:eastAsia="新細明體" w:hAnsi="新細明體" w:cs="Times New Roman"/>
          <w:b/>
          <w:bCs/>
          <w:sz w:val="22"/>
          <w14:ligatures w14:val="none"/>
        </w:rPr>
        <w:t>凡較力</w:t>
      </w:r>
      <w:proofErr w:type="gramEnd"/>
      <w:r w:rsidRPr="00A90879">
        <w:rPr>
          <w:rFonts w:ascii="新細明體" w:eastAsia="新細明體" w:hAnsi="新細明體" w:cs="Times New Roman"/>
          <w:b/>
          <w:bCs/>
          <w:sz w:val="22"/>
          <w14:ligatures w14:val="none"/>
        </w:rPr>
        <w:t>爭勝的，諸事都有節制，他們不過是</w:t>
      </w:r>
      <w:proofErr w:type="gramStart"/>
      <w:r w:rsidRPr="00A90879">
        <w:rPr>
          <w:rFonts w:ascii="新細明體" w:eastAsia="新細明體" w:hAnsi="新細明體" w:cs="Times New Roman"/>
          <w:b/>
          <w:bCs/>
          <w:sz w:val="22"/>
          <w14:ligatures w14:val="none"/>
        </w:rPr>
        <w:t>要得能壞的</w:t>
      </w:r>
      <w:proofErr w:type="gramEnd"/>
      <w:r w:rsidRPr="00A90879">
        <w:rPr>
          <w:rFonts w:ascii="新細明體" w:eastAsia="新細明體" w:hAnsi="新細明體" w:cs="Times New Roman"/>
          <w:b/>
          <w:bCs/>
          <w:sz w:val="22"/>
          <w14:ligatures w14:val="none"/>
        </w:rPr>
        <w:t>冠冕；我們卻是要得不能壞的冠冕。所以，我奔跑不像無定向的；</w:t>
      </w:r>
      <w:proofErr w:type="gramStart"/>
      <w:r w:rsidRPr="00A90879">
        <w:rPr>
          <w:rFonts w:ascii="新細明體" w:eastAsia="新細明體" w:hAnsi="新細明體" w:cs="Times New Roman"/>
          <w:b/>
          <w:bCs/>
          <w:sz w:val="22"/>
          <w14:ligatures w14:val="none"/>
        </w:rPr>
        <w:t>我鬥拳不像</w:t>
      </w:r>
      <w:proofErr w:type="gramEnd"/>
      <w:r w:rsidRPr="00A90879">
        <w:rPr>
          <w:rFonts w:ascii="新細明體" w:eastAsia="新細明體" w:hAnsi="新細明體" w:cs="Times New Roman"/>
          <w:b/>
          <w:bCs/>
          <w:sz w:val="22"/>
          <w14:ligatures w14:val="none"/>
        </w:rPr>
        <w:t>打空氣的。我是攻克己身，</w:t>
      </w:r>
      <w:proofErr w:type="gramStart"/>
      <w:r w:rsidRPr="00A90879">
        <w:rPr>
          <w:rFonts w:ascii="新細明體" w:eastAsia="新細明體" w:hAnsi="新細明體" w:cs="Times New Roman"/>
          <w:b/>
          <w:bCs/>
          <w:sz w:val="22"/>
          <w14:ligatures w14:val="none"/>
        </w:rPr>
        <w:t>叫身服</w:t>
      </w:r>
      <w:proofErr w:type="gramEnd"/>
      <w:r w:rsidRPr="00A90879">
        <w:rPr>
          <w:rFonts w:ascii="新細明體" w:eastAsia="新細明體" w:hAnsi="新細明體" w:cs="Times New Roman"/>
          <w:b/>
          <w:bCs/>
          <w:sz w:val="22"/>
          <w14:ligatures w14:val="none"/>
        </w:rPr>
        <w:t>我，恐怕我傳福音給別人，自己反被棄絕了。」</w:t>
      </w:r>
      <w:r w:rsidRPr="00A90879">
        <w:rPr>
          <w:rFonts w:ascii="新細明體" w:eastAsia="新細明體" w:hAnsi="新細明體" w:cs="Times New Roman"/>
          <w:b/>
          <w:bCs/>
          <w:sz w:val="22"/>
          <w:vertAlign w:val="superscript"/>
          <w14:ligatures w14:val="none"/>
        </w:rPr>
        <w:footnoteReference w:id="56"/>
      </w:r>
    </w:p>
    <w:p w14:paraId="01A6F261" w14:textId="77777777" w:rsidR="00A90879" w:rsidRPr="00A90879" w:rsidRDefault="00A90879" w:rsidP="00A90879">
      <w:pPr>
        <w:widowControl/>
        <w:spacing w:line="259" w:lineRule="auto"/>
        <w:rPr>
          <w:rFonts w:ascii="新細明體" w:eastAsia="新細明體" w:hAnsi="新細明體" w:cs="Times New Roman"/>
          <w:b/>
          <w:bCs/>
          <w:sz w:val="22"/>
          <w14:ligatures w14:val="none"/>
        </w:rPr>
      </w:pPr>
      <w:r w:rsidRPr="00A90879">
        <w:rPr>
          <w:rFonts w:ascii="新細明體" w:eastAsia="新細明體" w:hAnsi="新細明體" w:cs="Times New Roman"/>
          <w:b/>
          <w:bCs/>
          <w:sz w:val="22"/>
          <w14:ligatures w14:val="none"/>
        </w:rPr>
        <w:t>他所提的「獎賞」，就是桂冠，是達至極致完美的象徵，這代表所追求的理想。賽跑中只有</w:t>
      </w:r>
      <w:proofErr w:type="gramStart"/>
      <w:r w:rsidRPr="00A90879">
        <w:rPr>
          <w:rFonts w:ascii="新細明體" w:eastAsia="新細明體" w:hAnsi="新細明體" w:cs="Times New Roman"/>
          <w:b/>
          <w:bCs/>
          <w:sz w:val="22"/>
          <w14:ligatures w14:val="none"/>
        </w:rPr>
        <w:t>一</w:t>
      </w:r>
      <w:proofErr w:type="gramEnd"/>
      <w:r w:rsidRPr="00A90879">
        <w:rPr>
          <w:rFonts w:ascii="新細明體" w:eastAsia="新細明體" w:hAnsi="新細明體" w:cs="Times New Roman"/>
          <w:b/>
          <w:bCs/>
          <w:sz w:val="22"/>
          <w14:ligatures w14:val="none"/>
        </w:rPr>
        <w:t>個人得桂冠，所以每</w:t>
      </w:r>
      <w:proofErr w:type="gramStart"/>
      <w:r w:rsidRPr="00A90879">
        <w:rPr>
          <w:rFonts w:ascii="新細明體" w:eastAsia="新細明體" w:hAnsi="新細明體" w:cs="Times New Roman"/>
          <w:b/>
          <w:bCs/>
          <w:sz w:val="22"/>
          <w14:ligatures w14:val="none"/>
        </w:rPr>
        <w:t>個</w:t>
      </w:r>
      <w:proofErr w:type="gramEnd"/>
      <w:r w:rsidRPr="00A90879">
        <w:rPr>
          <w:rFonts w:ascii="新細明體" w:eastAsia="新細明體" w:hAnsi="新細明體" w:cs="Times New Roman"/>
          <w:b/>
          <w:bCs/>
          <w:sz w:val="22"/>
          <w14:ligatures w14:val="none"/>
        </w:rPr>
        <w:t xml:space="preserve">參賽者都要全力以赴去爭取，這是競賽者的目標。「較力爭勝」的希臘原文是 </w:t>
      </w:r>
      <w:proofErr w:type="spellStart"/>
      <w:r w:rsidRPr="00A90879">
        <w:rPr>
          <w:rFonts w:ascii="Times New Roman" w:eastAsia="新細明體" w:hAnsi="Times New Roman" w:cs="Times New Roman"/>
          <w:b/>
          <w:bCs/>
          <w:sz w:val="22"/>
          <w14:ligatures w14:val="none"/>
        </w:rPr>
        <w:t>agonizomai</w:t>
      </w:r>
      <w:proofErr w:type="spellEnd"/>
      <w:r w:rsidRPr="00A90879">
        <w:rPr>
          <w:rFonts w:ascii="新細明體" w:eastAsia="新細明體" w:hAnsi="新細明體" w:cs="Times New Roman"/>
          <w:b/>
          <w:bCs/>
          <w:sz w:val="22"/>
          <w14:ligatures w14:val="none"/>
        </w:rPr>
        <w:t>，指竭盡身心之力，甚至經歷痛苦、困難和掙扎而仍堅持奮鬥。所謂「諸事都有節制」，是指在每一事上刻苦地自我修為，希臘羅馬的奧運競賽者，都須受十個月嚴格操練，他若獲勝，就可得一個桂冠，但保羅指出，這只是世上能朽壞的冠冕。</w:t>
      </w:r>
    </w:p>
    <w:p w14:paraId="7CAD1BC5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保羅由競技而思考，人在靈修的實踐上，也須有競技一樣的刻苦修為，此中有幾個靈修學反省重點：</w:t>
      </w:r>
    </w:p>
    <w:p w14:paraId="180F5F0A" w14:textId="77777777" w:rsidR="00A90879" w:rsidRPr="00A90879" w:rsidRDefault="00A90879" w:rsidP="00A90879">
      <w:pPr>
        <w:widowControl/>
        <w:numPr>
          <w:ilvl w:val="0"/>
          <w:numId w:val="2"/>
        </w:numPr>
        <w:spacing w:line="259" w:lineRule="auto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尋求永恆世界的桂冠：</w:t>
      </w:r>
    </w:p>
    <w:p w14:paraId="20BDB510" w14:textId="77777777" w:rsidR="00A90879" w:rsidRPr="00A90879" w:rsidRDefault="00A90879" w:rsidP="00A90879">
      <w:pPr>
        <w:widowControl/>
        <w:spacing w:line="259" w:lineRule="auto"/>
        <w:ind w:left="720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保羅指出，屬靈性的人要像競技者有内心操練，但與世俗競技不同，在追求之終極目的，是尋求永恆世界之「不能壞的冠冕」，這是靈性修養上的桂冠，內在感通於無限美善的上帝。</w:t>
      </w:r>
    </w:p>
    <w:p w14:paraId="28D7E3A8" w14:textId="77777777" w:rsidR="00A90879" w:rsidRPr="00A90879" w:rsidRDefault="00A90879" w:rsidP="00A90879">
      <w:pPr>
        <w:widowControl/>
        <w:spacing w:line="259" w:lineRule="auto"/>
        <w:ind w:left="720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</w:p>
    <w:p w14:paraId="7D456A63" w14:textId="77777777" w:rsidR="00A90879" w:rsidRPr="00A90879" w:rsidRDefault="00A90879" w:rsidP="00A90879">
      <w:pPr>
        <w:widowControl/>
        <w:numPr>
          <w:ilvl w:val="0"/>
          <w:numId w:val="2"/>
        </w:numPr>
        <w:spacing w:line="259" w:lineRule="auto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有清楚定向和操練：</w:t>
      </w:r>
    </w:p>
    <w:p w14:paraId="6B0F474E" w14:textId="77777777" w:rsidR="00A90879" w:rsidRPr="00A90879" w:rsidRDefault="00A90879" w:rsidP="00A90879">
      <w:pPr>
        <w:widowControl/>
        <w:spacing w:line="259" w:lineRule="auto"/>
        <w:ind w:left="720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競技中的賽跑或打拳，都清楚對準目標，賽跑須有定向，拳擊競賽若「打空氣」，是不够充分的準備，靈性追求須操練內心，明確方向，以達到進入永恆價值世界，與上帝感通為目的。</w:t>
      </w:r>
    </w:p>
    <w:p w14:paraId="442F788B" w14:textId="77777777" w:rsidR="00A90879" w:rsidRPr="00A90879" w:rsidRDefault="00A90879" w:rsidP="00A90879">
      <w:pPr>
        <w:widowControl/>
        <w:spacing w:line="259" w:lineRule="auto"/>
        <w:ind w:left="720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</w:p>
    <w:p w14:paraId="6C30340D" w14:textId="77777777" w:rsidR="00A90879" w:rsidRPr="00A90879" w:rsidRDefault="00A90879" w:rsidP="00A90879">
      <w:pPr>
        <w:widowControl/>
        <w:numPr>
          <w:ilvl w:val="0"/>
          <w:numId w:val="2"/>
        </w:numPr>
        <w:spacing w:line="259" w:lineRule="auto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:lang w:eastAsia="zh-CN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攻克己身，克勝自己：</w:t>
      </w:r>
    </w:p>
    <w:p w14:paraId="1049C279" w14:textId="77777777" w:rsidR="00A90879" w:rsidRPr="00A90879" w:rsidRDefault="00A90879" w:rsidP="00A90879">
      <w:pPr>
        <w:widowControl/>
        <w:spacing w:line="259" w:lineRule="auto"/>
        <w:ind w:left="720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保羅強調「攻克己身」，「攻克」一字的希臘文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proofErr w:type="spell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hupópiazó</w:t>
      </w:r>
      <w:proofErr w:type="spell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，是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指鬥拳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時打中對手的眼下部，指通過自律而達目標。「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叫身服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我」，原文是使肉身成為奴僕，指不受肉身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因罪念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而生的私欲所支配，徹底控制自我欲望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的燥動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，是一種克制自己的內省修養，類同孔子的「克己」。</w:t>
      </w:r>
    </w:p>
    <w:p w14:paraId="78B65739" w14:textId="77777777" w:rsidR="00A90879" w:rsidRPr="00A90879" w:rsidRDefault="00A90879" w:rsidP="00A90879">
      <w:pPr>
        <w:widowControl/>
        <w:spacing w:line="259" w:lineRule="auto"/>
        <w:ind w:left="720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</w:p>
    <w:p w14:paraId="063D198D" w14:textId="77777777" w:rsidR="00A90879" w:rsidRPr="00A90879" w:rsidRDefault="00A90879" w:rsidP="00A90879">
      <w:pPr>
        <w:widowControl/>
        <w:numPr>
          <w:ilvl w:val="0"/>
          <w:numId w:val="2"/>
        </w:numPr>
        <w:spacing w:line="259" w:lineRule="auto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靈性操練勝過肉身私欲：</w:t>
      </w:r>
    </w:p>
    <w:p w14:paraId="7109E2CD" w14:textId="77777777" w:rsidR="00A90879" w:rsidRPr="00A90879" w:rsidRDefault="00A90879" w:rsidP="00A90879">
      <w:pPr>
        <w:widowControl/>
        <w:spacing w:line="259" w:lineRule="auto"/>
        <w:ind w:left="720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保羅的克己，是以靈性操練勝過肉身私欲，這可和孟子討論大人和小人的區分來理解，孟子說：「從其大體為大人，從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其小體為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小人。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…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耳目之官不思，而蔽於物；物交物，則引之而已矣。心之官則思，思則得之，不思則不得也。此天之所與我者。先立乎其大者，則其小者不能奪也。此為大人而已矣。」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57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保羅論的「己身」，可類同孟子言的「小體」，是不會思想的感覺，被物質世界所矇蔽。靈性類同「大體」，是天所賦與，分別是孟子的「天」是宇宙的仁愛創生本體，是哲學性的，保羅的是上帝，有仁愛與創造屬性，能主動啟示，和人溝通，是神學性的。</w:t>
      </w:r>
    </w:p>
    <w:p w14:paraId="234ED599" w14:textId="77777777" w:rsidR="00A90879" w:rsidRPr="00A90879" w:rsidRDefault="00A90879" w:rsidP="00A90879">
      <w:pPr>
        <w:widowControl/>
        <w:spacing w:line="259" w:lineRule="auto"/>
        <w:ind w:left="720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</w:p>
    <w:p w14:paraId="226523A1" w14:textId="77777777" w:rsidR="00A90879" w:rsidRPr="00A90879" w:rsidRDefault="00A90879" w:rsidP="00A90879">
      <w:pPr>
        <w:widowControl/>
        <w:numPr>
          <w:ilvl w:val="0"/>
          <w:numId w:val="2"/>
        </w:numPr>
        <w:spacing w:line="259" w:lineRule="auto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經得起考驗：</w:t>
      </w:r>
    </w:p>
    <w:p w14:paraId="1D14912F" w14:textId="77777777" w:rsidR="00A90879" w:rsidRPr="00A90879" w:rsidRDefault="00A90879" w:rsidP="00A90879">
      <w:pPr>
        <w:widowControl/>
        <w:spacing w:line="259" w:lineRule="auto"/>
        <w:ind w:left="720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棄絕的希臘文是</w:t>
      </w:r>
      <w:proofErr w:type="spell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adokimos</w:t>
      </w:r>
      <w:proofErr w:type="spell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，即「經不起考驗」，表示運動會中落選的人。保羅指出，若信徒靈性上不能「攻克己身」，卻又去傳福音，結果經不起考驗，而被上帝、也被人所遺棄。故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信徙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必須有靈性修養，通過競技一樣的操練，克己内省，在靈性和道德上達至完美，才可感通上帝，關愛世人，得上帝所賜的不朽壞桂冠。</w:t>
      </w:r>
    </w:p>
    <w:p w14:paraId="39128CAB" w14:textId="77777777" w:rsidR="00A90879" w:rsidRPr="00A90879" w:rsidRDefault="00A90879" w:rsidP="00A90879">
      <w:pPr>
        <w:widowControl/>
        <w:spacing w:line="259" w:lineRule="auto"/>
        <w:ind w:left="720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</w:p>
    <w:p w14:paraId="17AB58BC" w14:textId="77777777" w:rsidR="00A90879" w:rsidRPr="00A90879" w:rsidRDefault="00A90879" w:rsidP="00A90879">
      <w:pPr>
        <w:widowControl/>
        <w:numPr>
          <w:ilvl w:val="0"/>
          <w:numId w:val="2"/>
        </w:numPr>
        <w:spacing w:line="259" w:lineRule="auto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人生終結的靈性高峯：保羅晚年總結自己一生說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: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「那美好的仗我已經打過了，當跑的路我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已經跑盡了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，所信的道我已經守住了。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從此以後，有公義的冠冕為我存留，就是按著公義審判的主到了那日要賜給我的；不但賜給我，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也賜給凡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愛慕他顯現的人。」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58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保羅回憶一生是一場「美好的仗」，「仗」的希臘文是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proofErr w:type="spell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agōna</w:t>
      </w:r>
      <w:proofErr w:type="spell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，意思就是競賽，也指奮鬥，保羅仍是以競技賽來比喻人生。「當跑的路」，「路」字的希臘文是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dromos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，正是指賽跑，保羅指人生像賽跑競賽，他已成功跑完了。「所信的道我已經守住了」，「守住」一字希臘文是</w:t>
      </w:r>
      <w:proofErr w:type="spell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tetērēka</w:t>
      </w:r>
      <w:proofErr w:type="spell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，可指運動員遵守運動規則，保羅守住真道，就像運動員依從規律一樣。保羅用競技奮鬥，表達追求屬靈的圓滿境界。保羅人生是合乎天理的，就像競技運動員經過嚴格操練，最後得「公義的冠冕」，這正是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不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朽壞的桂冠，為公義的人預備。</w:t>
      </w:r>
    </w:p>
    <w:p w14:paraId="2377EB42" w14:textId="77777777" w:rsidR="00A90879" w:rsidRPr="00A90879" w:rsidRDefault="00A90879" w:rsidP="00A90879">
      <w:pPr>
        <w:widowControl/>
        <w:spacing w:line="259" w:lineRule="auto"/>
        <w:ind w:left="720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</w:p>
    <w:p w14:paraId="4A88F6FA" w14:textId="77777777" w:rsidR="00A90879" w:rsidRPr="00A90879" w:rsidRDefault="00A90879" w:rsidP="00A90879">
      <w:pPr>
        <w:widowControl/>
        <w:numPr>
          <w:ilvl w:val="0"/>
          <w:numId w:val="2"/>
        </w:numPr>
        <w:spacing w:line="259" w:lineRule="auto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人人皆可成為聖保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罹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：</w:t>
      </w:r>
    </w:p>
    <w:p w14:paraId="0377B0E9" w14:textId="77777777" w:rsidR="00A90879" w:rsidRPr="00A90879" w:rsidRDefault="00A90879" w:rsidP="00A90879">
      <w:pPr>
        <w:widowControl/>
        <w:spacing w:line="259" w:lineRule="auto"/>
        <w:ind w:left="720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這個冠冕不單爲保羅存留，不止是偉大的使徒聖者保羅才達此境界，人人只要愛慕上帝，期待基督顯現的，都可得這公義冠冕。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學效深度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靈性追求的人，也會得同樣的信心和同樣的喜樂。這觀點類似孟子「人皆可以為堯舜」。在神學上，這是肯定人因信心而得救贖，恩典臨到潔淨一切的罪，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因靈裡重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生而得永恆生命，人內在靈性得釋放復位，回復與永恆上帝的感通，這是人內在本性的改變。人若展開靈性持續的操練修養，與上帝的生命相融互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攝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，至終能圓滿地以信心和上帝感通，在恩典中達至成聖。由此，神學上可確定，人人皆可成聖保羅，即人人可像保羅一樣，一生追求靈性深度和上帝的感通，得上帝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所賜公義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的冠冕。</w:t>
      </w:r>
    </w:p>
    <w:p w14:paraId="21CA9730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8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8"/>
          <w:szCs w:val="22"/>
          <w14:ligatures w14:val="none"/>
        </w:rPr>
        <w:t>中華神學的自省之道</w:t>
      </w:r>
    </w:p>
    <w:p w14:paraId="7416DD48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作為人生的修養，中國文化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由射禮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到孔子，重視內省和克己。基督教的屬靈操練，約兩面：</w:t>
      </w:r>
    </w:p>
    <w:p w14:paraId="2C3412FC" w14:textId="77777777" w:rsidR="00A90879" w:rsidRPr="00A90879" w:rsidRDefault="00A90879" w:rsidP="00A90879">
      <w:pPr>
        <w:widowControl/>
        <w:numPr>
          <w:ilvl w:val="0"/>
          <w:numId w:val="3"/>
        </w:numPr>
        <w:spacing w:line="259" w:lineRule="auto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省察內在的罪：</w:t>
      </w:r>
    </w:p>
    <w:p w14:paraId="64C922E3" w14:textId="77777777" w:rsidR="00A90879" w:rsidRPr="00A90879" w:rsidRDefault="00A90879" w:rsidP="00A90879">
      <w:pPr>
        <w:widowControl/>
        <w:spacing w:line="259" w:lineRule="auto"/>
        <w:ind w:left="720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在舊約大衛王深切反省：「誰能知道自己的錯失呢？願你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赦免我隱而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未現的過錯。求你攔阻僕人不犯任意妄為的罪，不容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這罪轄制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我，我便完全，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免犯大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罪。耶和華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——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我的磐石，我的救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贖主啊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，願我口中的言語、心裡的意念在你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面前蒙悅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納。」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59"/>
      </w:r>
    </w:p>
    <w:p w14:paraId="134C5A66" w14:textId="77777777" w:rsidR="00A90879" w:rsidRPr="00A90879" w:rsidRDefault="00A90879" w:rsidP="00A90879">
      <w:pPr>
        <w:widowControl/>
        <w:spacing w:line="259" w:lineRule="auto"/>
        <w:ind w:left="720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</w:p>
    <w:p w14:paraId="7334BF29" w14:textId="77777777" w:rsidR="00A90879" w:rsidRPr="00A90879" w:rsidRDefault="00A90879" w:rsidP="00A90879">
      <w:pPr>
        <w:widowControl/>
        <w:spacing w:line="259" w:lineRule="auto"/>
        <w:ind w:left="720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這是很深的靈性自我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觀照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，省察自己的錯失，甚至包括「隱而未現的過錯」，使人不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被罪轄制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，意念和言語都在上帝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面前蒙悅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納。</w:t>
      </w:r>
    </w:p>
    <w:p w14:paraId="49968C5E" w14:textId="77777777" w:rsidR="00A90879" w:rsidRPr="00A90879" w:rsidRDefault="00A90879" w:rsidP="00A90879">
      <w:pPr>
        <w:widowControl/>
        <w:spacing w:line="259" w:lineRule="auto"/>
        <w:ind w:left="720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</w:p>
    <w:p w14:paraId="2F93D162" w14:textId="77777777" w:rsidR="00A90879" w:rsidRPr="00A90879" w:rsidRDefault="00A90879" w:rsidP="00A90879">
      <w:pPr>
        <w:widowControl/>
        <w:numPr>
          <w:ilvl w:val="0"/>
          <w:numId w:val="3"/>
        </w:numPr>
        <w:spacing w:line="259" w:lineRule="auto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省察內在的光明：</w:t>
      </w:r>
    </w:p>
    <w:p w14:paraId="54D47145" w14:textId="77777777" w:rsidR="00A90879" w:rsidRPr="00A90879" w:rsidRDefault="00A90879" w:rsidP="00A90879">
      <w:pPr>
        <w:widowControl/>
        <w:spacing w:line="259" w:lineRule="auto"/>
        <w:ind w:left="720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耶稣說「你眼睛就是身上的燈。你的眼睛若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瞭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亮，全身就光明；眼睛若昏花，全身就黑暗。所以，你要省察，恐怕你裡頭的光或者黑暗了。若是你全身光明，毫無黑暗，就必全然光明，如同燈的明光照亮。」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60"/>
      </w:r>
    </w:p>
    <w:p w14:paraId="750A47A5" w14:textId="77777777" w:rsidR="00A90879" w:rsidRPr="00A90879" w:rsidRDefault="00A90879" w:rsidP="00A90879">
      <w:pPr>
        <w:widowControl/>
        <w:spacing w:line="259" w:lineRule="auto"/>
        <w:ind w:left="720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</w:p>
    <w:p w14:paraId="266B6E25" w14:textId="77777777" w:rsidR="00A90879" w:rsidRPr="00A90879" w:rsidRDefault="00A90879" w:rsidP="00A90879">
      <w:pPr>
        <w:widowControl/>
        <w:spacing w:line="259" w:lineRule="auto"/>
        <w:ind w:left="720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所謂「眼睛就是身上的燈」，是指眼睛是人感官中唯一接受亮光的器官，眼睛若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瞭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亮，對亮光的反應正常，只要照明好，人全身可以發揮各種功能。但眼睛若昏花，光明便变成黑暗，無法看見亮光，人在黑暗中就無法發揮全身功能，，在屬靈方面也是如此，所以耶穌說：「你要省察」，心眼不能昏花，「昏花」的希臘文是</w:t>
      </w:r>
      <w:proofErr w:type="spell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ponēros</w:t>
      </w:r>
      <w:proofErr w:type="spell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，原意是邪惡，即心靈不能轉向邪惡，使人生昏暗。心眼要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瞭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亮，使生命的路跑向光明，人生便流露光輝，耶稣提醒我们，要省察内心，走向光明，人生就如燃點的燈，照亮世界。</w:t>
      </w:r>
    </w:p>
    <w:p w14:paraId="026D35D2" w14:textId="77777777" w:rsidR="00A90879" w:rsidRPr="00A90879" w:rsidRDefault="00A90879" w:rsidP="00A90879">
      <w:pPr>
        <w:widowControl/>
        <w:spacing w:line="259" w:lineRule="auto"/>
        <w:ind w:left="720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</w:p>
    <w:p w14:paraId="32B66B7E" w14:textId="77777777" w:rsidR="00A90879" w:rsidRPr="00A90879" w:rsidRDefault="00A90879" w:rsidP="00A90879">
      <w:pPr>
        <w:widowControl/>
        <w:numPr>
          <w:ilvl w:val="0"/>
          <w:numId w:val="3"/>
        </w:numPr>
        <w:spacing w:line="259" w:lineRule="auto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省察內在的自義：</w:t>
      </w:r>
    </w:p>
    <w:p w14:paraId="1B468F14" w14:textId="77777777" w:rsidR="00A90879" w:rsidRPr="00A90879" w:rsidRDefault="00A90879" w:rsidP="00A90879">
      <w:pPr>
        <w:widowControl/>
        <w:spacing w:line="259" w:lineRule="auto"/>
        <w:ind w:left="720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</w:p>
    <w:p w14:paraId="7CEBB59F" w14:textId="77777777" w:rsidR="00A90879" w:rsidRPr="00A90879" w:rsidRDefault="00A90879" w:rsidP="00A90879">
      <w:pPr>
        <w:widowControl/>
        <w:spacing w:line="259" w:lineRule="auto"/>
        <w:ind w:left="720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「你們不要論斷人，免得你們被論斷。因為你們怎樣論斷人，也必怎樣被論斷；你們用什麼量器量給人，也必用什麼量器量給你們。為什麼看見你弟兄眼中有刺，卻不想自己眼中有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梁木呢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？你自己眼中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有梁木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，怎能對你弟兄說『容我去掉你眼中的刺』呢？你這假冒為善的人！先去掉自己眼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中的梁木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，然後才能看得清楚，去掉你弟兄眼中的刺。」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61"/>
      </w:r>
    </w:p>
    <w:p w14:paraId="79A3A046" w14:textId="77777777" w:rsidR="00A90879" w:rsidRPr="00A90879" w:rsidRDefault="00A90879" w:rsidP="00A90879">
      <w:pPr>
        <w:widowControl/>
        <w:spacing w:line="259" w:lineRule="auto"/>
        <w:ind w:left="720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</w:p>
    <w:p w14:paraId="1548A607" w14:textId="77777777" w:rsidR="00A90879" w:rsidRPr="00A90879" w:rsidRDefault="00A90879" w:rsidP="00A90879">
      <w:pPr>
        <w:widowControl/>
        <w:spacing w:line="259" w:lineRule="auto"/>
        <w:ind w:left="720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這是對論斷他人的省察，針對人的自以為義，論斷希臘文</w:t>
      </w:r>
      <w:proofErr w:type="spell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krino</w:t>
      </w:r>
      <w:proofErr w:type="spell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，指「定罪」，人常喜歡判他人有罪，耶稣叫人必須先省察自己的罪念，人只見他人眼中有小錯失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(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剌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)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，而不知自己的大錯失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(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樑木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)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，人須先明白人人都有罪，無人能代表善的標準，人要先自省己罪，不能假冒為善。</w:t>
      </w:r>
    </w:p>
    <w:p w14:paraId="1F16131E" w14:textId="77777777" w:rsidR="00A90879" w:rsidRPr="00A90879" w:rsidRDefault="00A90879" w:rsidP="00A90879">
      <w:pPr>
        <w:widowControl/>
        <w:spacing w:line="259" w:lineRule="auto"/>
        <w:ind w:left="720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這是一種自省的倫理學，約翰記載文士和法利賽人帶着一個行淫時被拿的婦人來，問耶穌是否應該按摩西律法，用石頭打死她，耶穌卻說：「你們中間誰是沒有罪的，誰就可以先拿石頭打她。」結果群眾就從老到少，一個一個的都離開了，最後耶穌對婦人說：「我也不定你的罪。去吧，從此不要再犯罪了！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62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耶穌在此再次揭示人對他人定罪的傲慢，叫人先省察自己的罪，不能自以為義。」</w:t>
      </w:r>
    </w:p>
    <w:p w14:paraId="2CE81EB2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</w:p>
    <w:p w14:paraId="5FEE605D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儒學和基督信仰都有自省工夫，共通點是反省罪過，也反省內心的仁愛光明。孔子思考克己復禮，天下歸仁，耶穌叫人不要自義，謙卑以信心得天國恩典。</w:t>
      </w:r>
    </w:p>
    <w:p w14:paraId="56F3B77C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8"/>
          <w:szCs w:val="22"/>
          <w14:ligatures w14:val="none"/>
        </w:rPr>
      </w:pPr>
    </w:p>
    <w:p w14:paraId="5ED2F8DF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3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32"/>
          <w:szCs w:val="22"/>
          <w14:ligatures w14:val="none"/>
        </w:rPr>
        <w:t>中華成聖神學</w:t>
      </w:r>
    </w:p>
    <w:p w14:paraId="5EA26145" w14:textId="77777777" w:rsidR="00A90879" w:rsidRPr="00A90879" w:rsidRDefault="00A90879" w:rsidP="00A90879">
      <w:pPr>
        <w:widowControl/>
        <w:spacing w:line="259" w:lineRule="auto"/>
        <w:rPr>
          <w:rFonts w:ascii="新細明體" w:eastAsia="新細明體" w:hAnsi="新細明體" w:cs="Times New Roman"/>
          <w:b/>
          <w:bCs/>
          <w:kern w:val="0"/>
          <w:sz w:val="28"/>
          <w:szCs w:val="22"/>
          <w14:ligatures w14:val="none"/>
        </w:rPr>
      </w:pPr>
      <w:r w:rsidRPr="00A90879">
        <w:rPr>
          <w:rFonts w:ascii="新細明體" w:eastAsia="新細明體" w:hAnsi="新細明體" w:cs="Times New Roman"/>
          <w:b/>
          <w:bCs/>
          <w:kern w:val="0"/>
          <w:sz w:val="28"/>
          <w:szCs w:val="22"/>
          <w14:ligatures w14:val="none"/>
        </w:rPr>
        <w:t>聖人之性及人性本體的描述</w:t>
      </w:r>
    </w:p>
    <w:p w14:paraId="167A813D" w14:textId="77777777" w:rsidR="00A90879" w:rsidRPr="00A90879" w:rsidRDefault="00A90879" w:rsidP="00A90879">
      <w:pPr>
        <w:widowControl/>
        <w:spacing w:line="259" w:lineRule="auto"/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中國儒學從孔孟開始到宋明理學，其中一個哲學思想的重點是聖人之學，探討成聖如何可能。關鍵在肯定人有聖人性，這聖人性是一種仁愛正義的本質，與宇宙真理的本體同體。中華神學如何從聖經和神學傳统講聖人之學呢？</w:t>
      </w:r>
    </w:p>
    <w:p w14:paraId="74BCCD96" w14:textId="77777777" w:rsidR="00A90879" w:rsidRPr="00A90879" w:rsidRDefault="00A90879" w:rsidP="00A90879">
      <w:pPr>
        <w:widowControl/>
        <w:spacing w:line="259" w:lineRule="auto"/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聖人本性在中華神學，可有三點核心理念探討：</w:t>
      </w:r>
    </w:p>
    <w:p w14:paraId="0A27D7D3" w14:textId="77777777" w:rsidR="00A90879" w:rsidRPr="00A90879" w:rsidRDefault="00A90879" w:rsidP="00A90879">
      <w:pPr>
        <w:widowControl/>
        <w:numPr>
          <w:ilvl w:val="0"/>
          <w:numId w:val="4"/>
        </w:numPr>
        <w:spacing w:line="259" w:lineRule="auto"/>
        <w:contextualSpacing/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人有上帝的形象：</w:t>
      </w:r>
    </w:p>
    <w:p w14:paraId="358F7585" w14:textId="77777777" w:rsidR="00A90879" w:rsidRPr="00A90879" w:rsidRDefault="00A90879" w:rsidP="00A90879">
      <w:pPr>
        <w:widowControl/>
        <w:spacing w:line="259" w:lineRule="auto"/>
        <w:ind w:left="720"/>
        <w:contextualSpacing/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「形像」的希伯來文</w:t>
      </w:r>
      <w:proofErr w:type="spellStart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tselem</w:t>
      </w:r>
      <w:proofErr w:type="spellEnd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，其中</w:t>
      </w:r>
      <w:proofErr w:type="spellStart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tsel</w:t>
      </w:r>
      <w:proofErr w:type="spellEnd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是指影子，是上帝的反</w:t>
      </w:r>
      <w:proofErr w:type="gramStart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吷</w:t>
      </w:r>
      <w:proofErr w:type="gramEnd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，按上帝之行動而動。可引申為複製品或模本(replica)，人是模</w:t>
      </w:r>
      <w:proofErr w:type="gramStart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倣</w:t>
      </w:r>
      <w:proofErr w:type="gramEnd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上帝的本性而行動，人代表上帝的行動在地上。上帝的本體是三位一體的感通關係，上帝先説「我們」，而後說「照着他的形像造男造女」，男女就是入和人的關係，人按上帝形像被造的特性，是与他者相關的。先是人與上帝相關，到男與女相關，再到人與萬物相關。上帝的形像(</w:t>
      </w:r>
      <w:proofErr w:type="spellStart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tselem</w:t>
      </w:r>
      <w:proofErr w:type="spellEnd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)，就是「感通關係」。</w:t>
      </w:r>
    </w:p>
    <w:p w14:paraId="5B9C4E2D" w14:textId="77777777" w:rsidR="00A90879" w:rsidRPr="00A90879" w:rsidRDefault="00A90879" w:rsidP="00A90879">
      <w:pPr>
        <w:widowControl/>
        <w:spacing w:line="259" w:lineRule="auto"/>
        <w:ind w:left="720"/>
        <w:contextualSpacing/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人的形像與上帝有同一的行動，就是關係中的感應溝通，就是愛。</w:t>
      </w:r>
      <w:proofErr w:type="gramStart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此感通性</w:t>
      </w:r>
      <w:proofErr w:type="gramEnd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使人超越自我中心，而關愛他人，有人性中的惻隱仁愛，及</w:t>
      </w:r>
      <w:proofErr w:type="gramStart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良知明覺感應</w:t>
      </w:r>
      <w:proofErr w:type="gramEnd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。人與上帝分別在人是有限的，在時空中的，分開男和女的。人的本性像上帝，是關係性的存在。</w:t>
      </w:r>
    </w:p>
    <w:p w14:paraId="166FEC8B" w14:textId="77777777" w:rsidR="00A90879" w:rsidRPr="00A90879" w:rsidRDefault="00A90879" w:rsidP="00A90879">
      <w:pPr>
        <w:widowControl/>
        <w:spacing w:line="259" w:lineRule="auto"/>
        <w:ind w:left="720"/>
        <w:contextualSpacing/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</w:pPr>
    </w:p>
    <w:p w14:paraId="5ED23BF4" w14:textId="77777777" w:rsidR="00A90879" w:rsidRPr="00A90879" w:rsidRDefault="00A90879" w:rsidP="00A90879">
      <w:pPr>
        <w:widowControl/>
        <w:numPr>
          <w:ilvl w:val="0"/>
          <w:numId w:val="4"/>
        </w:numPr>
        <w:spacing w:line="259" w:lineRule="auto"/>
        <w:contextualSpacing/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人有上帝的樣式：</w:t>
      </w:r>
    </w:p>
    <w:p w14:paraId="4252E6F8" w14:textId="77777777" w:rsidR="00A90879" w:rsidRPr="00A90879" w:rsidRDefault="00A90879" w:rsidP="00A90879">
      <w:pPr>
        <w:widowControl/>
        <w:spacing w:line="259" w:lineRule="auto"/>
        <w:ind w:left="720"/>
        <w:contextualSpacing/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「樣式」希伯來文是</w:t>
      </w:r>
      <w:proofErr w:type="spellStart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demuth</w:t>
      </w:r>
      <w:proofErr w:type="spellEnd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，指類似(resembling)、相像(similitude)，可引申為形態(pattern)、風貌(figure)等，即人內在有相似上帝的性質，人性有類似上帝的形態和風貌。人的上帝樣式，指人內在有上帝相似的完美特性，是人「靈性的完美潛能」，在世上要表現得類似完美的上帝。人按上帝形像管理世界，是一過程，達至類似上帝的樣式之目的，在人生中表現出似上帝的形態和風貌。</w:t>
      </w:r>
    </w:p>
    <w:p w14:paraId="01737E15" w14:textId="77777777" w:rsidR="00A90879" w:rsidRPr="00A90879" w:rsidRDefault="00A90879" w:rsidP="00A90879">
      <w:pPr>
        <w:widowControl/>
        <w:spacing w:line="259" w:lineRule="auto"/>
        <w:ind w:left="720"/>
        <w:contextualSpacing/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人的特性，是具上帝感通關係的本體形像，經過靈性去實現其價值的過程，達到完美地建立天地人和諧，實現上帝在宇宙的計劃。</w:t>
      </w:r>
    </w:p>
    <w:p w14:paraId="46B891C4" w14:textId="77777777" w:rsidR="00A90879" w:rsidRPr="00A90879" w:rsidRDefault="00A90879" w:rsidP="00A90879">
      <w:pPr>
        <w:widowControl/>
        <w:spacing w:line="259" w:lineRule="auto"/>
        <w:ind w:left="720"/>
        <w:contextualSpacing/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</w:pPr>
    </w:p>
    <w:p w14:paraId="31BCF781" w14:textId="77777777" w:rsidR="00A90879" w:rsidRPr="00A90879" w:rsidRDefault="00A90879" w:rsidP="00A90879">
      <w:pPr>
        <w:widowControl/>
        <w:numPr>
          <w:ilvl w:val="0"/>
          <w:numId w:val="4"/>
        </w:numPr>
        <w:spacing w:line="259" w:lineRule="auto"/>
        <w:contextualSpacing/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人有靈性：</w:t>
      </w:r>
    </w:p>
    <w:p w14:paraId="396FD300" w14:textId="77777777" w:rsidR="00A90879" w:rsidRPr="00A90879" w:rsidRDefault="00A90879" w:rsidP="00A90879">
      <w:pPr>
        <w:widowControl/>
        <w:spacing w:line="259" w:lineRule="auto"/>
        <w:ind w:left="720"/>
        <w:contextualSpacing/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 xml:space="preserve">人的身體原是無生命的塵土， </w:t>
      </w:r>
      <w:proofErr w:type="gramStart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上帝吹給人</w:t>
      </w:r>
      <w:proofErr w:type="gramEnd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的「生氣」，希伯來原文是</w:t>
      </w:r>
      <w:proofErr w:type="spellStart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neshamah</w:t>
      </w:r>
      <w:proofErr w:type="spellEnd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(靈魂或靈氣) 和</w:t>
      </w:r>
      <w:proofErr w:type="spellStart"/>
      <w:r w:rsidRPr="00A90879">
        <w:rPr>
          <w:rFonts w:ascii="Cambria" w:eastAsia="新細明體" w:hAnsi="Cambria" w:cs="Cambria"/>
          <w:b/>
          <w:bCs/>
          <w:kern w:val="0"/>
          <w:sz w:val="22"/>
          <w:szCs w:val="22"/>
          <w14:ligatures w14:val="none"/>
        </w:rPr>
        <w:t>ḥ</w:t>
      </w:r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ayyim</w:t>
      </w:r>
      <w:proofErr w:type="spellEnd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(生命)，指生命的靈氣，是上帝放在人身體中神聖的「靈」性，成為作用於身體上的與上帝相關的氣息，這使人有生命。</w:t>
      </w:r>
    </w:p>
    <w:p w14:paraId="11FE7740" w14:textId="77777777" w:rsidR="00A90879" w:rsidRPr="00A90879" w:rsidRDefault="00A90879" w:rsidP="00A90879">
      <w:pPr>
        <w:widowControl/>
        <w:spacing w:line="259" w:lineRule="auto"/>
        <w:ind w:left="720"/>
        <w:contextualSpacing/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</w:pPr>
      <w:proofErr w:type="spellStart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Neshamah</w:t>
      </w:r>
      <w:proofErr w:type="spellEnd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具有不同層次，最高層次是上帝賦與人的「靈性」，「上帝的靈」(ruach)是人靈魂(</w:t>
      </w:r>
      <w:proofErr w:type="spellStart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neshamah</w:t>
      </w:r>
      <w:proofErr w:type="spellEnd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)的根源，而靈魂中的「靈性」可感通聖靈，這是神創造的心性中屬靈部份，這「靈性」是人能感通上帝的最高層次，是人性中的本體心性。</w:t>
      </w:r>
      <w:proofErr w:type="gramStart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此外，</w:t>
      </w:r>
      <w:proofErr w:type="gramEnd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也有與動物共有的心思和生命，這是第二層次，可稱之為「心魂」，這是由</w:t>
      </w:r>
      <w:proofErr w:type="spellStart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neshamah</w:t>
      </w:r>
      <w:proofErr w:type="spellEnd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 xml:space="preserve"> 所產生，</w:t>
      </w:r>
      <w:proofErr w:type="gramStart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使入成為</w:t>
      </w:r>
      <w:proofErr w:type="gramEnd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有心魂(nephesh) 的活人。另外還有動物相同的生物和身體因素，這第三層次可稱為「體魄」(</w:t>
      </w:r>
      <w:proofErr w:type="spellStart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basar</w:t>
      </w:r>
      <w:proofErr w:type="spellEnd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)。</w:t>
      </w:r>
    </w:p>
    <w:p w14:paraId="6A319A54" w14:textId="77777777" w:rsidR="00A90879" w:rsidRPr="00A90879" w:rsidRDefault="00A90879" w:rsidP="00A90879">
      <w:pPr>
        <w:widowControl/>
        <w:spacing w:line="259" w:lineRule="auto"/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這是中華心性神學的三大理念，是上帝創造人時，人具有上帝賦與和</w:t>
      </w:r>
      <w:proofErr w:type="gramStart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衪相感</w:t>
      </w:r>
      <w:proofErr w:type="gramEnd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通的本性，這是人成聖的可能根據。上帝吹生氣創造人的靈性，人是一靈性本體，可與上帝感通。這裡作為神學的核心理念，是在神人的「靈性關係」(spiritual relationship)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上，中華神學視人的本性不是</w:t>
      </w:r>
      <w:proofErr w:type="gramStart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一</w:t>
      </w:r>
      <w:proofErr w:type="gramEnd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實體，人是一關係性的存在本體(relational being)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，上帝與人有感應和溝通的關係，像馬丁.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布伯(Martin Buber)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 xml:space="preserve">的言的「我-祢」(  I and Thou) </w:t>
      </w:r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63"/>
      </w:r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關係。三位一體的上帝，本身是父、子、靈在一體中不離</w:t>
      </w:r>
      <w:proofErr w:type="gramStart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不雜又相融互攝的</w:t>
      </w:r>
      <w:proofErr w:type="gramEnd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關係，是一感通的關係本體論，上帝以感通為本性，按其形像和樣式，創造了感通性的、以仁愛為本性的人。天地初創時，人心性可和上帝對話溝通，發展其形像和樣式，若與上帝建立深度的親情關係，就可成為神聖。</w:t>
      </w:r>
    </w:p>
    <w:p w14:paraId="0BFA7EAE" w14:textId="77777777" w:rsidR="00A90879" w:rsidRPr="00A90879" w:rsidRDefault="00A90879" w:rsidP="00A90879">
      <w:pPr>
        <w:widowControl/>
        <w:spacing w:line="259" w:lineRule="auto"/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大衛說</w:t>
      </w:r>
      <w:proofErr w:type="gramStart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上帝賜人</w:t>
      </w:r>
      <w:proofErr w:type="gramEnd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「榮耀尊貴為冠冕」</w:t>
      </w:r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64"/>
      </w:r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，冠冕是代表一個尊貴地位，即人本性被賦與類似上帝的榮耀尊貴性，成為人在宇宙中的地位。這就是人具有靈性的尊貴地位。</w:t>
      </w:r>
    </w:p>
    <w:p w14:paraId="23DA9DD9" w14:textId="77777777" w:rsidR="00A90879" w:rsidRPr="00A90879" w:rsidRDefault="00A90879" w:rsidP="00A90879">
      <w:pPr>
        <w:widowControl/>
        <w:spacing w:line="259" w:lineRule="auto"/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同時人具有三一上帝的「形像」，即有上帝的感通關係特質，人可與上帝，他人及萬物感通，而可調節、培育、管理萬物。在感通關係中，人性有仁愛、正義、及</w:t>
      </w:r>
      <w:proofErr w:type="gramStart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良知明覺感應</w:t>
      </w:r>
      <w:proofErr w:type="gramEnd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的價值，這是道德的根源。</w:t>
      </w:r>
    </w:p>
    <w:p w14:paraId="14E64FFF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人也具有上帝的「樣式」，是內在相似於上帝的完美性質，但因人在有限的時空中，故這性質在人是一可完善的潛能，須通過內聖外王的過程來實現，最高就是「脫離世上從情慾來的敗壞，就得與上帝的性情有分」</w:t>
      </w:r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65"/>
      </w:r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，和聖靈「相</w:t>
      </w:r>
      <w:proofErr w:type="gramStart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融互攝</w:t>
      </w:r>
      <w:proofErr w:type="gramEnd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」(perichoresis)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，內通上帝，關愛世人，滋潤萬物，而達成聖之境，即為天地立心，為生民立命，為往聖繼绝學，為萬世開太平。</w:t>
      </w:r>
    </w:p>
    <w:p w14:paraId="6297AC05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總結中華神學認為，在宇宙初創時，以人心性是反映三位一體，人以靈性為本體，這本體來自聖靈吹的靈氣，具三特性：</w:t>
      </w:r>
    </w:p>
    <w:p w14:paraId="6FAF3978" w14:textId="77777777" w:rsidR="00A90879" w:rsidRPr="00A90879" w:rsidRDefault="00A90879" w:rsidP="00A90879">
      <w:pPr>
        <w:widowControl/>
        <w:numPr>
          <w:ilvl w:val="0"/>
          <w:numId w:val="5"/>
        </w:numPr>
        <w:spacing w:line="259" w:lineRule="auto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榮耀尊貴性</w:t>
      </w:r>
    </w:p>
    <w:p w14:paraId="303CA1E3" w14:textId="77777777" w:rsidR="00A90879" w:rsidRPr="00A90879" w:rsidRDefault="00A90879" w:rsidP="00A90879">
      <w:pPr>
        <w:widowControl/>
        <w:numPr>
          <w:ilvl w:val="0"/>
          <w:numId w:val="5"/>
        </w:numPr>
        <w:spacing w:line="259" w:lineRule="auto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感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通仁愛性</w:t>
      </w:r>
    </w:p>
    <w:p w14:paraId="211B4D85" w14:textId="77777777" w:rsidR="00A90879" w:rsidRPr="00A90879" w:rsidRDefault="00A90879" w:rsidP="00A90879">
      <w:pPr>
        <w:widowControl/>
        <w:numPr>
          <w:ilvl w:val="0"/>
          <w:numId w:val="5"/>
        </w:numPr>
        <w:spacing w:line="259" w:lineRule="auto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可完美性</w:t>
      </w:r>
    </w:p>
    <w:p w14:paraId="2F79A8CE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從中國思路去建立中華神學，基督信仰這心性的一體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三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特性，奇特地與中國儒學的心性觀頗可相通，儒學《中庸》開宗明義說：「天命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之謂性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66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，人的本體是上天所賦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與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，是與天同體。同樣有三特性：</w:t>
      </w:r>
    </w:p>
    <w:p w14:paraId="694DB73B" w14:textId="77777777" w:rsidR="00A90879" w:rsidRPr="00A90879" w:rsidRDefault="00A90879" w:rsidP="00A90879">
      <w:pPr>
        <w:widowControl/>
        <w:numPr>
          <w:ilvl w:val="0"/>
          <w:numId w:val="6"/>
        </w:numPr>
        <w:spacing w:line="259" w:lineRule="auto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《尚書》描述：「惟天地，萬物父母；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惟人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，萬物之靈」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67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，這是將天、地、人相關而論人，人具有萬物中特有的靈性，這是人在萬物中的尊貴地位。</w:t>
      </w:r>
    </w:p>
    <w:p w14:paraId="657B4ED0" w14:textId="77777777" w:rsidR="00A90879" w:rsidRPr="00A90879" w:rsidRDefault="00A90879" w:rsidP="00A90879">
      <w:pPr>
        <w:widowControl/>
        <w:numPr>
          <w:ilvl w:val="0"/>
          <w:numId w:val="6"/>
        </w:numPr>
        <w:spacing w:line="259" w:lineRule="auto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proofErr w:type="gramStart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孔子說仁者</w:t>
      </w:r>
      <w:proofErr w:type="gramEnd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是「愛人」，孟子講「惻隱之心」，均詋明人性特質，是感通仁愛性。</w:t>
      </w:r>
    </w:p>
    <w:p w14:paraId="468B6F7B" w14:textId="77777777" w:rsidR="00A90879" w:rsidRPr="00A90879" w:rsidRDefault="00A90879" w:rsidP="00A90879">
      <w:pPr>
        <w:widowControl/>
        <w:numPr>
          <w:ilvl w:val="0"/>
          <w:numId w:val="6"/>
        </w:numPr>
        <w:spacing w:line="259" w:lineRule="auto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孟子講「聖人與我同類者」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68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，是人可成為聖人，即人有「可完美性」。</w:t>
      </w:r>
    </w:p>
    <w:p w14:paraId="6E40AD6E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由上分析，中華神學與儒家哲學的心性論，共同肯定人的價值，而人具有圓滿美善的潛能，可以達至完美。</w:t>
      </w:r>
    </w:p>
    <w:p w14:paraId="424A3671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</w:p>
    <w:p w14:paraId="34177307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8"/>
          <w:szCs w:val="22"/>
          <w14:ligatures w14:val="none"/>
        </w:rPr>
      </w:pP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8"/>
          <w:szCs w:val="22"/>
          <w14:ligatures w14:val="none"/>
        </w:rPr>
        <w:t>罪性的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8"/>
          <w:szCs w:val="22"/>
          <w14:ligatures w14:val="none"/>
        </w:rPr>
        <w:t>隔絕和陷溺</w:t>
      </w:r>
    </w:p>
    <w:p w14:paraId="02A4B58E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儒學和基督信仰的心性論是有共通的特質，不同之處是基督信仰講人在天地初創時的心性本體，在時空中經過始祖犯罪，將人和上帝的感通關係隔絕了，如以賽亞說：「你們的罪孽使你們與神隔絕，你們的罪惡使他掩面不聽你們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69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隔絕引致人神關係破裂的狀態，人性㱟虧損，如保羅所謂：「世人都犯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了罪，虧缺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了神的榮耀。」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70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罪不是一個實體的惡，卻是指美善本性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的虧缺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因而美善潛能實現時被扭曲，心性原本無限地追求圓滿美善，但如射箭不中红心，扭曲了方向，轉為追求世上有限的事物，而將有限事物無限化，視之如上帝一樣，因而創造了偶像，「將不能朽壞之神的榮耀變為偶像，彷彿必朽壞的人和飛禽、走獸、昆蟲的樣式。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…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他們將神的真實變為虛謊，去敬拜事奉受造之物，不敬奉那造物的主。」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71"/>
      </w:r>
    </w:p>
    <w:p w14:paraId="03D5AC2E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偶像將人心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梱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鎖在有限事物的追逐中，人心就失去了永恆無限的價值，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罪那原始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隔絕狀態就形成一個世界困局，保羅說：「你們從前與神隔絕，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因著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惡行，心裡與他為敵。」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72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人須通過上帝主動的啟示和救贖，突破了隔絕，回復神人感通，人得重新回到靈性，和天、地、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人復通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，由此可開始逐步與基督及聖靈相融互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攝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，追求最終實現人和上帝共融的神聖關係。</w:t>
      </w:r>
    </w:p>
    <w:p w14:paraId="373B1EE8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儒學是由哲學反省，通過修養以發現心性之本體，也發現人的種種罪過和罪惡，孟子解釋罪為人「陷溺其心」而形成，指人心失陷在物欲，或「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梏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亡」仁義之心人，即窒息破壞了原本的善。其解釋接近奧古斯丁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(Augustine)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用「善的虧損」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(privation of goodness) 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解釋罪性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，理論方向接近。不過儒學重點不在帝和人關係的破裂，故也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不講救贖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，而重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在存養仁義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之修養。這是哲學和神學的進路不同。</w:t>
      </w:r>
    </w:p>
    <w:p w14:paraId="721D6B9B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</w:p>
    <w:p w14:paraId="6DB61935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8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8"/>
          <w:szCs w:val="22"/>
          <w14:ligatures w14:val="none"/>
        </w:rPr>
        <w:t>中華神學探討人的神聖化</w:t>
      </w:r>
      <w:r w:rsidRPr="00A90879">
        <w:rPr>
          <w:rFonts w:ascii="Calibri" w:eastAsia="新細明體" w:hAnsi="Calibri" w:cs="Times New Roman"/>
          <w:b/>
          <w:bCs/>
          <w:kern w:val="0"/>
          <w:sz w:val="28"/>
          <w:szCs w:val="22"/>
          <w14:ligatures w14:val="none"/>
        </w:rPr>
        <w:t>(</w:t>
      </w:r>
      <w:proofErr w:type="spellStart"/>
      <w:r w:rsidRPr="00A90879">
        <w:rPr>
          <w:rFonts w:ascii="Calibri" w:eastAsia="新細明體" w:hAnsi="Calibri" w:cs="Times New Roman"/>
          <w:b/>
          <w:bCs/>
          <w:kern w:val="0"/>
          <w:sz w:val="28"/>
          <w:szCs w:val="22"/>
          <w14:ligatures w14:val="none"/>
        </w:rPr>
        <w:t>Theosis</w:t>
      </w:r>
      <w:proofErr w:type="spellEnd"/>
      <w:r w:rsidRPr="00A90879">
        <w:rPr>
          <w:rFonts w:ascii="Calibri" w:eastAsia="新細明體" w:hAnsi="Calibri" w:cs="Times New Roman"/>
          <w:b/>
          <w:bCs/>
          <w:kern w:val="0"/>
          <w:sz w:val="28"/>
          <w:szCs w:val="22"/>
          <w14:ligatures w14:val="none"/>
        </w:rPr>
        <w:t>, or deification)</w:t>
      </w:r>
      <w:r w:rsidRPr="00A90879">
        <w:rPr>
          <w:rFonts w:ascii="Calibri" w:eastAsia="新細明體" w:hAnsi="Calibri" w:cs="Times New Roman"/>
          <w:b/>
          <w:bCs/>
          <w:kern w:val="0"/>
          <w:sz w:val="28"/>
          <w:szCs w:val="22"/>
          <w14:ligatures w14:val="none"/>
        </w:rPr>
        <w:t>理論</w:t>
      </w:r>
    </w:p>
    <w:p w14:paraId="7DF208DA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Cs w:val="22"/>
          <w14:ligatures w14:val="none"/>
        </w:rPr>
        <w:t>何謂人的神聖化</w:t>
      </w:r>
    </w:p>
    <w:p w14:paraId="494A841D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在尼西亞會議建立正統神學理論的阿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他那修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(Athanasius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或譯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阿塔纳修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)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，在其《論道成肉身》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(De </w:t>
      </w:r>
      <w:proofErr w:type="spell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Incarnatione</w:t>
      </w:r>
      <w:proofErr w:type="spell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，英譯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On the Incarnation of the Word)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中說：「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祂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道成肉身為人，為了使我們可以成為神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73"/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清簡地說明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，道成肉身的真理，其圓滿成果是人分享到上帝的神聖存在性質，而使人達到像神一般的神聖。這是基督教信仰中，人可達的最高境界。在第二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世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纪的亞力山大派的革利免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(Clement of Alexandria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，或譯克里門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)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是最早提出這觀點學者之一，他說：「當人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有道住在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其中，保有道的形式，就會像神，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…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當上帝意願，人就能成為神。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…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道自己是奧秘的彰顯，神在人中，人就是神。」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74"/>
      </w:r>
    </w:p>
    <w:p w14:paraId="4ABB1C2F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東方教父的思路核心是「道成肉身」的理念，是超越的神聖世界和具體庸俗世界的打通。所謂神聖化的問題，是人在具體現實的世界，如何能達至上帝超越的神聖？關鍵在三位一體的聖子基督，是宇宙的道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(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邏各斯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)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，道成肉身就打通神人的世界，神成為人，人融通於道，即可成為神，即達至神聖化。</w:t>
      </w:r>
    </w:p>
    <w:p w14:paraId="07351424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神聖化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(</w:t>
      </w:r>
      <w:proofErr w:type="spell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theosis</w:t>
      </w:r>
      <w:proofErr w:type="spell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)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一詞，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字根是</w:t>
      </w:r>
      <w:proofErr w:type="spell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theos</w:t>
      </w:r>
      <w:proofErr w:type="spell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，原意即是「神」，</w:t>
      </w:r>
      <w:proofErr w:type="spell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theosis</w:t>
      </w:r>
      <w:proofErr w:type="spell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指「化為神」，準確點是「化為像神一般神聖」，故我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簡單點譯為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「神聖化」，而避用「神化」一詞，免生混淆，以為</w:t>
      </w:r>
      <w:proofErr w:type="spell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theosis</w:t>
      </w:r>
      <w:proofErr w:type="spell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指人變成上帝。英譯方面，有神學家用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deification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或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divinization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，也具有這意思。</w:t>
      </w:r>
    </w:p>
    <w:p w14:paraId="1A524D1F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有關「神聖化」作為一神學思想，學者克倫登理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(Daniel B. Clendenin)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作了全面的界定：「這是一種轉化、融合、參與、分享、攙和、崇高、互通、質變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、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合拼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、同化、重合、吸收、共創等。神聖化必然包含人的存在和基督的交織融合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(intertwined)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，是一種神聖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的湧流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，或是達至相似上帝。」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75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這裡用了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13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個形容詞，去描寫神化是人與基督的交織融合，人能與上帝融合，而得提昇生命，達神聖化而相似上帝，是為神聖化。</w:t>
      </w:r>
    </w:p>
    <w:p w14:paraId="62655FE6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人的神聖化，不能解讀為人變成上帝，因時空中有限的人，不可能變成無限和全能的上帝。而是指人性在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被造時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以上帝無限的靈氣為本體，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雖因罪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帯來了隔絕，但在救贖後，可與基督和聖靈感通，東方教父有些用「相融互攝」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(perichoresis)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的理念，來說明這種我中有你，和你中有我的關係。這是指人的靈性經過神人「相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融互攝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(perichoresis)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的過程，除去罪過，得與上帝的本性有分，分享上帝的神性，而達至人的「神聖化」。</w:t>
      </w:r>
    </w:p>
    <w:p w14:paraId="661CD8E3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中國哲學講天人合一，人人可成聖人，也不是指時空中的人變成無限的上天，而是人性以天的仁愛為本體，人的生命成為天命純善的流露，由此可成為聖人。古聖人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如堯、舜的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生命，就是天命純善的流露，故有限的人，若其生命成為上天無限美善流通的存在，這就成為聖人。人的人性與天分享同一本體，任何人原則上有可能實現全面流露純善，故人與聖人同類，人人可成為聖人。</w:t>
      </w:r>
    </w:p>
    <w:p w14:paraId="7BB9709A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學者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Goran Medved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對這神聖化觀點特別作出澄清：「神聖化不是指人變成上帝，因這是不可能的，且從基督教傳統也知這是異端觀點。神聖化是意涵轉化，那是指我們更類似上帝的本質和性格。」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76"/>
      </w:r>
    </w:p>
    <w:p w14:paraId="1421B29E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8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8"/>
          <w:szCs w:val="22"/>
          <w14:ligatures w14:val="none"/>
        </w:rPr>
        <w:t>神聖化的基礎在人具有至高上帝的兒子性</w:t>
      </w:r>
      <w:r w:rsidRPr="00A90879">
        <w:rPr>
          <w:rFonts w:ascii="Calibri" w:eastAsia="新細明體" w:hAnsi="Calibri" w:cs="Times New Roman"/>
          <w:b/>
          <w:bCs/>
          <w:kern w:val="0"/>
          <w:sz w:val="28"/>
          <w:szCs w:val="22"/>
          <w14:ligatures w14:val="none"/>
        </w:rPr>
        <w:t>(</w:t>
      </w:r>
      <w:r w:rsidRPr="00A90879">
        <w:rPr>
          <w:rFonts w:ascii="Calibri" w:eastAsia="新細明體" w:hAnsi="Calibri" w:cs="Times New Roman"/>
          <w:b/>
          <w:bCs/>
          <w:kern w:val="0"/>
          <w:sz w:val="28"/>
          <w:szCs w:val="22"/>
          <w14:ligatures w14:val="none"/>
        </w:rPr>
        <w:t>即兒女性</w:t>
      </w:r>
      <w:r w:rsidRPr="00A90879">
        <w:rPr>
          <w:rFonts w:ascii="Calibri" w:eastAsia="新細明體" w:hAnsi="Calibri" w:cs="Times New Roman"/>
          <w:b/>
          <w:bCs/>
          <w:kern w:val="0"/>
          <w:sz w:val="28"/>
          <w:szCs w:val="22"/>
          <w14:ligatures w14:val="none"/>
        </w:rPr>
        <w:t>)</w:t>
      </w:r>
    </w:p>
    <w:p w14:paraId="6BCE15D0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人能神聖化之所以可能，在人性中有和上帝相關相通的本性，這在舊約《創世記》已清楚描述了，上帝創造人具有靈性、上帝的形象、上帝的樣式，這三點在本文及從前的論文已討論了。這三特性其實是一個本性，就是上帝的兒子性，《路加福音》追溯耶穌族譜到亞當，說：「亞當是神的兒子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77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亞當既是人的始祖，可見人被創造時，就具有上帝兒子的地位和本性。</w:t>
      </w:r>
    </w:p>
    <w:p w14:paraId="5C27B22A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上帝創造的人，是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祂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的兒女，這思想是以「關係」為核心，意思是上帝和人有原始的親情關係，這種關係得到完成，就是使人神聖化。我們可用神學上「相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融互攝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(perichoresis)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的理念，來理解這種親情關係的終極完成。人的皃女性，就是和上帝的相似，即人性具有由上帝來的靈性、形象和樣式，而可在管理天地的過程，達至完成和上帝的相融互攝。</w:t>
      </w:r>
    </w:p>
    <w:p w14:paraId="79EADAC8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上帝父、子、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靈是三個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性情位格，三性情基於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一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永恆無限的性情本體，在永恆無限之一體中，父、子、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靈相即相入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，又不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離不雜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，彰顯上帝的本性是關係性與感通性。上帝本身是親情互愛的感通關係本體，上帝創造的兒</w:t>
      </w:r>
      <w:r w:rsidRPr="00A90879">
        <w:rPr>
          <w:rFonts w:ascii="新細明體" w:eastAsia="新細明體" w:hAnsi="新細明體" w:cs="新細明體"/>
          <w:b/>
          <w:bCs/>
          <w:kern w:val="0"/>
          <w:sz w:val="22"/>
          <w:szCs w:val="22"/>
          <w14:ligatures w14:val="none"/>
        </w:rPr>
        <w:t>子，亦是一感通關係的本體。</w:t>
      </w:r>
    </w:p>
    <w:p w14:paraId="41D82F94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探討上帝的兒子理念，舊約《詩篇》中一段，曾引起很多注意，詩人亞薩曾如此說：「我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(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神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)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曾說：『你們是神，都是至高者的兒子。』」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78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在詩歌開始時，「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神站在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有權力者的會中，在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諸神中行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審判」，指出他們是最高神的兒子，但他們「審判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不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秉公義，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徇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惡人的情面」。這些至高者的兒子是指「天使」還是人呢？這裡上帝批判他們不公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義，而且刑罰他們說：「你們都要死。」那就不能是靈界的天使，明確是人，是地上有權去執行公義的人，他們應代表上帝的形象，去行公義，故稱為「最高神的兒子」，但他們做不到上帝所給與的職份，故被審判。</w:t>
      </w:r>
    </w:p>
    <w:p w14:paraId="1DA62399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到新約當法利賽人批判耶穌說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僭妄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的話時，耶穌引這段《詩篇》說：「你們的律法上豈不是寫著『我曾說你們是神』嗎？經上的話是不能廢的；若那些承受神道的人尚且稱為神，父所分別為聖、又差到世間來的，他自稱是神的兒子，你們還向他說『你說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僭妄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的話』嗎？」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79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耶穌顯明是那些「承受上帝之道的人」稱為神，是至高者的兒子。這是上帝賦與的人性，是「上帝的皃子性」。路加說：「亞當是神的兒子。」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80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亞當既是人的始祖，被創造時，是「承受上帝之道的人」，具有上帝兒子的地位和本性。</w:t>
      </w:r>
    </w:p>
    <w:p w14:paraId="09B06E77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由此可確定，經典上肯定人的本性，是具有上帝的兒子性，能「承受上帝之道的人」，就是上帝的兒子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(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或兒女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)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性，而因這本性，人是可神聖化的。</w:t>
      </w:r>
    </w:p>
    <w:p w14:paraId="508A8274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8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8"/>
          <w:szCs w:val="22"/>
          <w14:ligatures w14:val="none"/>
        </w:rPr>
        <w:t>人兒女性復位的新生命</w:t>
      </w:r>
    </w:p>
    <w:p w14:paraId="6CBB70F5" w14:textId="77777777" w:rsidR="00A90879" w:rsidRPr="00A90879" w:rsidRDefault="00A90879" w:rsidP="00A90879">
      <w:pPr>
        <w:widowControl/>
        <w:spacing w:line="259" w:lineRule="auto"/>
        <w:rPr>
          <w:rFonts w:ascii="新細明體" w:eastAsia="新細明體" w:hAnsi="新細明體" w:cs="新細明體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但人始祖因選擇與上帝隔離，進入罪的狀態，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因罪而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矇蔽了了上帝的兒子性，如何使人回歸兒子地位呢？新約一開始就處理這開題，約翰說：「凡接待他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(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道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)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的，就是信他名的人，他就賜他們權柄，做神的兒女。這等人不是從血氣生的，不是從情慾生的，也不是從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人意生的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，乃是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從神生的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81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道成肉身的基督，使人因信他的名而復位，從上帝而生出新生命，回到神的兒</w:t>
      </w:r>
      <w:r w:rsidRPr="00A90879">
        <w:rPr>
          <w:rFonts w:ascii="新細明體" w:eastAsia="新細明體" w:hAnsi="新細明體" w:cs="新細明體"/>
          <w:b/>
          <w:bCs/>
          <w:kern w:val="0"/>
          <w:sz w:val="22"/>
          <w:szCs w:val="22"/>
          <w14:ligatures w14:val="none"/>
        </w:rPr>
        <w:t>女地位，且有兒女的權柄。</w:t>
      </w:r>
    </w:p>
    <w:p w14:paraId="6DE95885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保羅描述因着救贖而來人的復位，成為後嗣，說：「因為凡被神的靈引導的，都是神的兒子。你們所受的，不是奴僕的心，仍舊害怕；所受的，乃是兒子的心，因此我們呼叫：阿爸！父！聖靈與我們的心同證我們是神的兒女；既是兒女，便是後嗣，就是神的後嗣，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基督同作後嗣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。如果我們和他一同受苦，也必和他一同得榮耀。」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82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保羅指出，神的皃子的條件是「被神的靈引導的」，義理與耶穌所講「承受上帝之道的人」可稱為「神」，內容是一致的。人若成為神的兒女，就和基督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同作神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的後嗣，與基督「相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融互攝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」，分享其神聖，並一同受苦和得榮耀。</w:t>
      </w:r>
    </w:p>
    <w:p w14:paraId="2BF5C75A" w14:textId="77777777" w:rsidR="00A90879" w:rsidRPr="00A90879" w:rsidRDefault="00A90879" w:rsidP="00A90879">
      <w:pPr>
        <w:widowControl/>
        <w:spacing w:line="259" w:lineRule="auto"/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耶穌指出上帝的兒女可被聖靈引導進入真理，且將來有更大使命：「只等真理的聖靈來了，他要引導你們明白</w:t>
      </w:r>
      <w:proofErr w:type="gramStart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（</w:t>
      </w:r>
      <w:proofErr w:type="gramEnd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原文作：進入</w:t>
      </w:r>
      <w:proofErr w:type="gramStart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）</w:t>
      </w:r>
      <w:proofErr w:type="gramEnd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一切的真理。」</w:t>
      </w:r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83"/>
      </w:r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「我實實在在地告訴你們，我所作的事，信我的人也要做，並且要做比這更大的事，因為我</w:t>
      </w:r>
      <w:proofErr w:type="gramStart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往父那裡</w:t>
      </w:r>
      <w:proofErr w:type="gramEnd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去。」</w:t>
      </w:r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84"/>
      </w:r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這上帝兒女的群體做聖子基督的事，且做得更大，可見這兒女性和基督的聖子性相似。</w:t>
      </w:r>
    </w:p>
    <w:p w14:paraId="0EED83DE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耶穌指出人是可以達到完全的：「你們要完全，像你們的天父完全一樣。」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85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「完全」的希臘文是</w:t>
      </w:r>
      <w:proofErr w:type="spell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téleios</w:t>
      </w:r>
      <w:proofErr w:type="spell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，指圓滿、完美、價值、終極目的等，即是人之目的，是可以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進達像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上帝一樣的圓滿價值，這是相似上帝的神聖。故人回復上帝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兒女性後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，须開展一神聖化的過程，以成為完全人為目的，像上帝的神聖。</w:t>
      </w:r>
    </w:p>
    <w:p w14:paraId="48E889A7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但人和基督的兒子性有一區分，基督是三位一體中的聖子，在永恆中與聖父同體，亞當是上帝的兒子，是按上帝的形像和樣式創造的有靈活人，基督是「三一的聖子性」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(Trinitarian Sonship)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，人是「被創造的兒子性」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(created sonship)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，不等同基督，但有基督兒子性的形像和樣式，即具有神聖本質的。</w:t>
      </w:r>
    </w:p>
    <w:p w14:paraId="1BF5B9BD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聖子道成肉身到人間，與普通人類處在同一層次，其完全的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人性融攝人類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一切的悲歡離合，承担人一切的在苦難和罪惡，通過痛苦、死亡和復活，帶來人性從罪中扭曲生命的轉化。罪的隔绝被除去，神人回復感通，人的上帝兒女性復位，得與基督同為上帝的後嗣。由此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人被造的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兒女性重新運作，人性完全回歸其原本潛能，通過進入基督無限的生命，靈性追求達到人的神聖化，分享聖子的性情位格。</w:t>
      </w:r>
    </w:p>
    <w:p w14:paraId="3CE35AFB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8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8"/>
          <w:szCs w:val="22"/>
          <w14:ligatures w14:val="none"/>
        </w:rPr>
        <w:t>上帝兒女轉化成主的形狀</w:t>
      </w:r>
    </w:p>
    <w:p w14:paraId="7926286C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保羅描述這轉變說：「如果你們聽過他的道，領了他的教，學了他的真理，就要脫去你們從前行為上的舊人，這舊人是因私慾的迷惑漸漸變壞的；又要將你們的心志改換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一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新，並且穿上新人；這新人是照著神的形像造的，有真理的仁義和聖潔。」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86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指出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救贖使人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得到新性情，像穿上新人，照著神的形像再造，有真理的仁義和聖潔。這新形象就是一種內在轉化，要「效法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祂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兒子的模樣」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87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，成為基督的樣式，分享上帝聖子的神聖</w:t>
      </w:r>
    </w:p>
    <w:p w14:paraId="47E99DE3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更高的境界，是保羅所說：「我們眾人既然敞著臉得以看見主的榮光，好像從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鏡子裡返照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，就變成主的形狀，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榮上加榮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，如同從主的靈變成的。」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88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聖靈在人身上帶來更新變化，使我們敞著臉與基督會面，反映主的榮光。進入相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融互攝的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境界，因而「變成主的形狀，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榮上加榮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」。</w:t>
      </w:r>
    </w:p>
    <w:p w14:paraId="685AE19B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「變成主的形狀，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榮上加榮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」是指人見基督聖子真體的境界，故約翰說：「我們現在是神的兒女，將來如何，還未顯明；但我們知道，主若顯現，我們必要像他，因為必得見他的真體。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凡向他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有這指望的，就潔淨自己，像他潔淨一樣。」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89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「真體」希臘文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proofErr w:type="spell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kathōs</w:t>
      </w:r>
      <w:proofErr w:type="spell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proofErr w:type="spell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estin</w:t>
      </w:r>
      <w:proofErr w:type="spell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，是指祂自己之所是，即其存在本體，中文譯「真體」很正確。神的兒女的未來指望，是潔淨自己，將來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在靈裡看見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基督的真體，不但我們的臉是沒有遮掩的，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祂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的臉也是敞開的，這是與上帝面對面，因此我們終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于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能够完完全全地像祂。這是神聖化過程之終目的。</w:t>
      </w:r>
    </w:p>
    <w:p w14:paraId="018DF6D7" w14:textId="77777777" w:rsidR="00A90879" w:rsidRPr="00A90879" w:rsidRDefault="00A90879" w:rsidP="00A90879">
      <w:pPr>
        <w:widowControl/>
        <w:spacing w:line="259" w:lineRule="auto"/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最終境界是「與神的性情有份」，由此乃可如彼得所說：「他已將又寶貴又極大的應許賜給我們，叫我們</w:t>
      </w:r>
      <w:bookmarkStart w:id="0" w:name="_Hlk177465946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既脫離世上從情慾來的敗壞，就</w:t>
      </w:r>
      <w:bookmarkStart w:id="1" w:name="_Hlk177454784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得與神的性情有份。」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90"/>
      </w:r>
      <w:bookmarkEnd w:id="0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所謂「與神的性情有份」，似是指人可以參與上帝的本性中。</w:t>
      </w:r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「性情」的希臘文是</w:t>
      </w:r>
      <w:proofErr w:type="spellStart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theias</w:t>
      </w:r>
      <w:proofErr w:type="spellEnd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 xml:space="preserve"> </w:t>
      </w:r>
      <w:proofErr w:type="spellStart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phusis</w:t>
      </w:r>
      <w:proofErr w:type="spellEnd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 xml:space="preserve">， </w:t>
      </w:r>
      <w:proofErr w:type="spellStart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theias</w:t>
      </w:r>
      <w:proofErr w:type="spellEnd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 xml:space="preserve"> 的字根是</w:t>
      </w:r>
      <w:proofErr w:type="spellStart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theós</w:t>
      </w:r>
      <w:proofErr w:type="spellEnd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 xml:space="preserve">，指上帝、至上神，今是形容詞，指神聖的，是上帝本性及特質的彰顯。至於 </w:t>
      </w:r>
      <w:proofErr w:type="spellStart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phusis</w:t>
      </w:r>
      <w:proofErr w:type="spellEnd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 xml:space="preserve"> ，字根是</w:t>
      </w:r>
      <w:proofErr w:type="spellStart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phuó</w:t>
      </w:r>
      <w:proofErr w:type="spellEnd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，指產生，引致，引申為內在本性。「有分」的希臘文字根是</w:t>
      </w:r>
      <w:proofErr w:type="spellStart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koinonós</w:t>
      </w:r>
      <w:proofErr w:type="spellEnd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 xml:space="preserve"> ，指互相感通，互相投身，</w:t>
      </w:r>
      <w:proofErr w:type="gramStart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內外均美善</w:t>
      </w:r>
      <w:proofErr w:type="gramEnd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 xml:space="preserve">的關係(Kalos </w:t>
      </w:r>
      <w:proofErr w:type="spellStart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k'agathos</w:t>
      </w:r>
      <w:proofErr w:type="spellEnd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)，是兩方面深入的參與、</w:t>
      </w:r>
      <w:proofErr w:type="gramStart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契</w:t>
      </w:r>
      <w:proofErr w:type="gramEnd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入、分享、分擔、及有情的團契</w:t>
      </w:r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91"/>
      </w:r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。這是上帝和人建立的深情相交，達到感通共融，神人「相</w:t>
      </w:r>
      <w:proofErr w:type="gramStart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融互攝</w:t>
      </w:r>
      <w:proofErr w:type="gramEnd"/>
      <w:r w:rsidRPr="00A90879">
        <w:rPr>
          <w:rFonts w:ascii="新細明體" w:eastAsia="新細明體" w:hAnsi="新細明體" w:cs="Times New Roman"/>
          <w:b/>
          <w:bCs/>
          <w:kern w:val="0"/>
          <w:sz w:val="22"/>
          <w:szCs w:val="22"/>
          <w14:ligatures w14:val="none"/>
        </w:rPr>
        <w:t>」(perichoresis)。</w:t>
      </w:r>
      <w:bookmarkEnd w:id="1"/>
    </w:p>
    <w:p w14:paraId="3E434F6D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8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8"/>
          <w:szCs w:val="22"/>
          <w14:ligatures w14:val="none"/>
        </w:rPr>
        <w:t>成聖的過程</w:t>
      </w:r>
    </w:p>
    <w:p w14:paraId="374AE0B7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這分享基督的神聖性情，是一屬靈發展過程，人的上帝兒女性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一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步步親近上帝，分享基督的聖子性情，而達至融入基督，終得神聖化，這成聖過程，基督簡要地說清楚：「你從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世上賜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給我的人，我已將你的名顯明與他們。他們本是你的，你將他們賜給我，他們也遵守了你的道。如今他們知道，凡你所賜給我的，都是從你那裡來的；因為你所賜給我的道，我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已經賜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給他們，他們也領受了，又確實知道，我是從你出來的，並且信你差了我來。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…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求你用真理使他們成聖；你的道就是真理。你怎樣差我到世上，我也照樣差他們到世上。我為他們的緣故，自己分別為聖，叫他們也因真理成聖。」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92"/>
      </w:r>
    </w:p>
    <w:p w14:paraId="4E9BA2CC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成聖的希臘文</w:t>
      </w:r>
      <w:proofErr w:type="spell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hagiason</w:t>
      </w:r>
      <w:proofErr w:type="spell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，是一動詞，字根是</w:t>
      </w:r>
      <w:proofErr w:type="spell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hagios</w:t>
      </w:r>
      <w:proofErr w:type="spell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，是形容詞，原意指分別，不同於任何事物，亦即是完全超越事物的性質。這詞與主禱文中「願你的名為聖」的「聖」字相同，是形容上帝的神聖，人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成聖指像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上帝的神聖，性質與一切事物不同，是純正而超越的。在創造時人的靈性，上帝兒子性，亦具這性質的潛能。救贖來臨時，耶稣說明使徒們本是天父的，即本是屬上帝的兒女，知道天父的名，遵守和領受天父的道，知道並相信天父差了聖子來，聖子在地上完成使命，分別為聖，也讓他們因真理成聖。</w:t>
      </w:r>
    </w:p>
    <w:p w14:paraId="43C14F8A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人與基督的融合，約翰記載耶穌的描述：「正如你父在我裡面，我在你裡面，使他們也在我們裡面」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93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，這是親情關係的「相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融互攝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」，我稱之為「互為内在的境界」。</w:t>
      </w:r>
    </w:p>
    <w:p w14:paraId="6A153C65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上帝是完全超越，但道成肉身的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基督通入人間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與世界，與人融合，即可帶引入進入上帝的超越神聖性，而人能因此成聖。</w:t>
      </w:r>
    </w:p>
    <w:p w14:paraId="4BBAD1AC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8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8"/>
          <w:szCs w:val="22"/>
          <w14:ligatures w14:val="none"/>
        </w:rPr>
        <w:t>中華神學的成聖之學</w:t>
      </w:r>
    </w:p>
    <w:p w14:paraId="590A8B4D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中華神學要處理這神聖境界如何可能，用中國思路推論如下：</w:t>
      </w:r>
    </w:p>
    <w:p w14:paraId="048EDE52" w14:textId="77777777" w:rsidR="00A90879" w:rsidRPr="00A90879" w:rsidRDefault="00A90879" w:rsidP="00A90879">
      <w:pPr>
        <w:widowControl/>
        <w:numPr>
          <w:ilvl w:val="0"/>
          <w:numId w:val="7"/>
        </w:numPr>
        <w:spacing w:line="259" w:lineRule="auto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人人有上帝的皃子性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(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《約翰福音》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10:34-36)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，有榮耀和尊貴性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(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《詩篇》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8:5)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，這是人的神聖本性。用中國理念講，人的存在本體，是對上帝有孝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悌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之仁性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。</w:t>
      </w:r>
    </w:p>
    <w:p w14:paraId="77F39EFE" w14:textId="77777777" w:rsidR="00A90879" w:rsidRPr="00A90879" w:rsidRDefault="00A90879" w:rsidP="00A90879">
      <w:pPr>
        <w:widowControl/>
        <w:numPr>
          <w:ilvl w:val="0"/>
          <w:numId w:val="7"/>
        </w:numPr>
        <w:spacing w:line="259" w:lineRule="auto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上帝兒子性是指人被創造時，和上帝有原始的親情關係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(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《路加福音》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3:38)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。人性對上帝有「孝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悌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之仁性」，是人與最高神聖者的親情關係。</w:t>
      </w:r>
    </w:p>
    <w:p w14:paraId="582760BF" w14:textId="77777777" w:rsidR="00A90879" w:rsidRPr="00A90879" w:rsidRDefault="00A90879" w:rsidP="00A90879">
      <w:pPr>
        <w:widowControl/>
        <w:numPr>
          <w:ilvl w:val="0"/>
          <w:numId w:val="7"/>
        </w:numPr>
        <w:spacing w:line="259" w:lineRule="auto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上帝兒子性在存在本體上，反映三位一體的聖子性情，聖子與聖父和聖靈同為一體，三者不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離不雜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，相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融互攝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(perichoresis)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。聖子基督與人感通交融，可在親情關係中提昇入本性的實現，而走向神聖。</w:t>
      </w:r>
    </w:p>
    <w:p w14:paraId="79B75D92" w14:textId="77777777" w:rsidR="00A90879" w:rsidRPr="00A90879" w:rsidRDefault="00A90879" w:rsidP="00A90879">
      <w:pPr>
        <w:widowControl/>
        <w:numPr>
          <w:ilvl w:val="0"/>
          <w:numId w:val="7"/>
        </w:numPr>
        <w:spacing w:line="259" w:lineRule="auto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這人類本性具體包括靈性、上帝的形象和上帝的樣式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(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《創世記》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2:6-8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、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1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：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26-28)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。即榮耀尊貴性、感通仁愛性及可完美性</w:t>
      </w:r>
    </w:p>
    <w:p w14:paraId="0A8D903F" w14:textId="77777777" w:rsidR="00A90879" w:rsidRPr="00A90879" w:rsidRDefault="00A90879" w:rsidP="00A90879">
      <w:pPr>
        <w:widowControl/>
        <w:numPr>
          <w:ilvl w:val="0"/>
          <w:numId w:val="7"/>
        </w:numPr>
        <w:spacing w:line="259" w:lineRule="auto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因始祖犯罪，與上帝隔絕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(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《哥羅西書》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1:21)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虧缺了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這本性反咉的上帝榮耀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(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《聖經．羅馬書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》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3:23)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。人與上帝的親情關係斷絕，人的孝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悌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仁性不能實現，追求上帝的本性轉而創造了偶像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(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《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聖經．羅馬書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》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1:23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、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25)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。</w:t>
      </w:r>
    </w:p>
    <w:p w14:paraId="73E36B12" w14:textId="77777777" w:rsidR="00A90879" w:rsidRPr="00A90879" w:rsidRDefault="00A90879" w:rsidP="00A90879">
      <w:pPr>
        <w:widowControl/>
        <w:numPr>
          <w:ilvl w:val="0"/>
          <w:numId w:val="7"/>
        </w:numPr>
        <w:spacing w:line="259" w:lineRule="auto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宇宙之道是聖子基督，基督道成肉身成為人，參與到人類當中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(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《約翰福音》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1:14)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，基督有完全的神性和完全的人性，其神性和人性是不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離不雜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，相融互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攝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。基督建立天國在地上。其圓滿的人性與人深情相交。</w:t>
      </w:r>
    </w:p>
    <w:p w14:paraId="768F757E" w14:textId="77777777" w:rsidR="00A90879" w:rsidRPr="00A90879" w:rsidRDefault="00A90879" w:rsidP="00A90879">
      <w:pPr>
        <w:widowControl/>
        <w:numPr>
          <w:ilvl w:val="0"/>
          <w:numId w:val="7"/>
        </w:numPr>
        <w:spacing w:line="259" w:lineRule="auto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道與人類同甘共苦，在人間經歷人類之大苦，基督釘十字架承担人的苦和罪，通過復活除去罪的隔絕狀態，人以赤子之信接受恩典，不再做罪的奴僕，卻與基督同活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(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《羅馬書》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6:6-10)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人的本體因救贖而內在復活，得靈性重生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(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《約翰福音》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1:12-13)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，人原有的上帝兒女</w:t>
      </w:r>
      <w:r w:rsidRPr="00A90879">
        <w:rPr>
          <w:rFonts w:ascii="新細明體" w:eastAsia="新細明體" w:hAnsi="新細明體" w:cs="新細明體"/>
          <w:b/>
          <w:bCs/>
          <w:kern w:val="0"/>
          <w:sz w:val="22"/>
          <w:szCs w:val="22"/>
          <w14:ligatures w14:val="none"/>
        </w:rPr>
        <w:t>性復位，這本性可被提昇，而和基督的圓滿人性融合 (《羅馬書》6:4-5)，開始產生和基督完全的人性相融互</w:t>
      </w:r>
      <w:proofErr w:type="gramStart"/>
      <w:r w:rsidRPr="00A90879">
        <w:rPr>
          <w:rFonts w:ascii="新細明體" w:eastAsia="新細明體" w:hAnsi="新細明體" w:cs="新細明體"/>
          <w:b/>
          <w:bCs/>
          <w:kern w:val="0"/>
          <w:sz w:val="22"/>
          <w:szCs w:val="22"/>
          <w14:ligatures w14:val="none"/>
        </w:rPr>
        <w:t>攝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，同時又不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離不雜</w:t>
      </w:r>
      <w:proofErr w:type="gramEnd"/>
      <w:r w:rsidRPr="00A90879">
        <w:rPr>
          <w:rFonts w:ascii="新細明體" w:eastAsia="新細明體" w:hAnsi="新細明體" w:cs="新細明體"/>
          <w:b/>
          <w:bCs/>
          <w:kern w:val="0"/>
          <w:sz w:val="22"/>
          <w:szCs w:val="22"/>
          <w14:ligatures w14:val="none"/>
        </w:rPr>
        <w:t>，而基督完全的神性和人性亦是相融互</w:t>
      </w:r>
      <w:proofErr w:type="gramStart"/>
      <w:r w:rsidRPr="00A90879">
        <w:rPr>
          <w:rFonts w:ascii="新細明體" w:eastAsia="新細明體" w:hAnsi="新細明體" w:cs="新細明體"/>
          <w:b/>
          <w:bCs/>
          <w:kern w:val="0"/>
          <w:sz w:val="22"/>
          <w:szCs w:val="22"/>
          <w14:ligatures w14:val="none"/>
        </w:rPr>
        <w:t>攝</w:t>
      </w:r>
      <w:proofErr w:type="gramEnd"/>
      <w:r w:rsidRPr="00A90879">
        <w:rPr>
          <w:rFonts w:ascii="新細明體" w:eastAsia="新細明體" w:hAnsi="新細明體" w:cs="新細明體"/>
          <w:b/>
          <w:bCs/>
          <w:kern w:val="0"/>
          <w:sz w:val="22"/>
          <w:szCs w:val="22"/>
          <w14:ligatures w14:val="none"/>
        </w:rPr>
        <w:t>，構成聖子的特別性情位格，而人從分享基督的人性而到追求相</w:t>
      </w:r>
      <w:proofErr w:type="gramStart"/>
      <w:r w:rsidRPr="00A90879">
        <w:rPr>
          <w:rFonts w:ascii="新細明體" w:eastAsia="新細明體" w:hAnsi="新細明體" w:cs="新細明體"/>
          <w:b/>
          <w:bCs/>
          <w:kern w:val="0"/>
          <w:sz w:val="22"/>
          <w:szCs w:val="22"/>
          <w14:ligatures w14:val="none"/>
        </w:rPr>
        <w:t>融互攝其</w:t>
      </w:r>
      <w:proofErr w:type="gramEnd"/>
      <w:r w:rsidRPr="00A90879">
        <w:rPr>
          <w:rFonts w:ascii="新細明體" w:eastAsia="新細明體" w:hAnsi="新細明體" w:cs="新細明體"/>
          <w:b/>
          <w:bCs/>
          <w:kern w:val="0"/>
          <w:sz w:val="22"/>
          <w:szCs w:val="22"/>
          <w14:ligatures w14:val="none"/>
        </w:rPr>
        <w:t>聖子整體的性情位格。</w:t>
      </w:r>
    </w:p>
    <w:p w14:paraId="789B4899" w14:textId="77777777" w:rsidR="00A90879" w:rsidRPr="00A90879" w:rsidRDefault="00A90879" w:rsidP="00A90879">
      <w:pPr>
        <w:widowControl/>
        <w:numPr>
          <w:ilvl w:val="0"/>
          <w:numId w:val="7"/>
        </w:numPr>
        <w:spacing w:line="259" w:lineRule="auto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信心是人原始單純的抉擇，不是行為，我称為「赤子之信心」，是在聖靈感動下，人回復赤子般的單純，開放生命接受這恩典，與上帝和好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(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《羅馬書》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5:1-2)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，重建親情關係，成為上帝的兒女，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(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《約翰福音》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1:12-13)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，回復原初孝悌之仁的赤子之心，亦即上帝的兒子性，且可提昇轉化，以相似於基督的完美聖子性為目的，達至分享基督的樣式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(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《約翰一書》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3:2-3)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，並追求像天父的完全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(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《馬太福音》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5:48)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，展開神聖化過程。</w:t>
      </w:r>
    </w:p>
    <w:p w14:paraId="783D1016" w14:textId="77777777" w:rsidR="00A90879" w:rsidRPr="00A90879" w:rsidRDefault="00A90879" w:rsidP="00A90879">
      <w:pPr>
        <w:widowControl/>
        <w:numPr>
          <w:ilvl w:val="0"/>
          <w:numId w:val="7"/>
        </w:numPr>
        <w:spacing w:line="259" w:lineRule="auto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人生成為一個靈性操練的過程，由赤子之信逐步建立與三一上帝的深度親情關係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(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《約翰一書》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2:24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，《啟示錄》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3:21)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，最後與上帝的性情有分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(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《彼得後書》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1:4)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。</w:t>
      </w:r>
    </w:p>
    <w:p w14:paraId="599F1B98" w14:textId="77777777" w:rsidR="00A90879" w:rsidRPr="00A90879" w:rsidRDefault="00A90879" w:rsidP="00A90879">
      <w:pPr>
        <w:widowControl/>
        <w:numPr>
          <w:ilvl w:val="0"/>
          <w:numId w:val="7"/>
        </w:numPr>
        <w:spacing w:line="259" w:lineRule="auto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最高境界的圓滿，是參與到上帝的性情，實現相似聖子基督的兒子性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(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兒女性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) (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《加拉太書》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4:6-7)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，達至與基督完全感通共融，相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融互攝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(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《約翰福音》，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17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：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21)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，反映上帝的神聖性情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(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《哥林多後書》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3:18)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，人至此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即由稱義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到成聖，因真理得到神聖化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(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《約翰福音》，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17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：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17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、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19)</w:t>
      </w:r>
    </w:p>
    <w:p w14:paraId="47F27CF2" w14:textId="77777777" w:rsidR="00A90879" w:rsidRPr="00A90879" w:rsidRDefault="00A90879" w:rsidP="00A90879">
      <w:pPr>
        <w:widowControl/>
        <w:spacing w:line="259" w:lineRule="auto"/>
        <w:ind w:left="720"/>
        <w:contextualSpacing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</w:p>
    <w:p w14:paraId="3CB02AE1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這中華神學的思路和東方教父思路是相通的，特別是以道成肉身為核心，基督的圓滿人性可與信徒融合。如守道者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(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或譯懺悔者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)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聖馬克西穆斯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(St. Maximus the Confessor)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所言：「人盼望尋求將人性神聖化，其保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証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是來自上帝的道成肉身，因上帝成為人，使人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與神可進入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同一程度相關。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…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讓我們成為一完整的上帝形象，內在自我不執持任何屬世的事物，我們就可以和上帝調配一致，而成為神聖者，得從上帝接收像神一般的存在。由於祂很清楚地成為人，但沒有罪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(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希伯來書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4:15) 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，遂可將人性神聖化，但不須將人性變成上帝的神性，卻是因上帝自己要將人提昇，達到衪為人類下臨成而為人那程度。」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94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</w:p>
    <w:p w14:paraId="4D69C0D8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聖馬克西穆斯很小心地說明，人性的神聖化不是人變成上帝，卻是因基督道成肉身，具完全的人性和完全的神性，其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救贖可使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人和基督聯合，分享其圓滿的人性，人在基督裡可以逐步感通基督聖子的性情位格，達到神聖化，提昇致成聖之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?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的。</w:t>
      </w:r>
    </w:p>
    <w:p w14:paraId="6D1806C4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從中華神學看，東方教父的神聖化思想，重點在道成肉身的基督，聖子完美的人性能融合被救贖的人，將人提昇轉化。他們講人性常是人犯罪後的人性，罪中的人性是不能提昇的，他們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較少重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䂓人被創造的原初人性存在本體。</w:t>
      </w:r>
    </w:p>
    <w:p w14:paraId="4DC88769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從中國哲學思想反省，人成聖是因其本體就是聖人性，中華神學吸納中國成聖之學，探討人神聖化的入性因素，即人原初被創造的存在本體，就是上帝兒子性，這是人有上帝所創造的靈性、形像和樣式，是人可成為神聖的基礎，但因人犯罪，這些特性是被隔絕了，但未失去，仍是人的存在本體。創世記：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凡流人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血的，他的血也必被人所流，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因為神造人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，是照自己的形像造的。」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95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說明人離開伊甸園後，仍是有上帝的形像。</w:t>
      </w:r>
    </w:p>
    <w:p w14:paraId="20FFAAE0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人的上帝兒子性是人存在的尊嚴所在，但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因罪性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的隔絕，這存在本體失去和上帝的關係，不能實現其本性，經啟示和救贖重建神人關係，人的上帝兒子性復位，這人性具上帝樣式，是人靈性的完美潛能，人按上帝形像管理世界，是一過程，達至類似上帝的樣式之目的。又在神人感通中，可融合基督的人性，追求分享其聖子性，與上帝相似的樣式，重新開始其神聖化的歷程。</w:t>
      </w:r>
    </w:p>
    <w:p w14:paraId="0B4B2427" w14:textId="77777777" w:rsidR="00A90879" w:rsidRPr="00A90879" w:rsidRDefault="00A90879" w:rsidP="00A90879">
      <w:pPr>
        <w:widowControl/>
        <w:spacing w:line="259" w:lineRule="auto"/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</w:pP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孟子說：「聖人與我同類者」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96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，意謂人人可成聖人。從中華神學的成聖之學看，人性原則上是和上帝有親情關係，這關係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曾因罪而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破碎，基督道成肉身重建神人感通，基督應許使徒</w:t>
      </w:r>
      <w:r w:rsidRPr="00A90879">
        <w:rPr>
          <w:rFonts w:ascii="新細明體" w:eastAsia="新細明體" w:hAnsi="新細明體" w:cs="新細明體"/>
          <w:b/>
          <w:bCs/>
          <w:kern w:val="0"/>
          <w:sz w:val="22"/>
          <w:szCs w:val="22"/>
          <w14:ligatures w14:val="none"/>
        </w:rPr>
        <w:t>可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成聖，人人由赤子之信進入和上帝相通之聖域，而可逐步分享上帝性情，走向成為神聖之目標。保羅達至成聖，得上帝公義之冠冕，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且說這冠冕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「不但賜給我，</w:t>
      </w:r>
      <w:proofErr w:type="gramStart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也賜給凡</w:t>
      </w:r>
      <w:proofErr w:type="gramEnd"/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愛慕他顯現的人。」</w:t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:vertAlign w:val="superscript"/>
          <w14:ligatures w14:val="none"/>
        </w:rPr>
        <w:footnoteReference w:id="97"/>
      </w:r>
      <w:r w:rsidRPr="00A90879">
        <w:rPr>
          <w:rFonts w:ascii="Calibri" w:eastAsia="新細明體" w:hAnsi="Calibri" w:cs="Times New Roman"/>
          <w:b/>
          <w:bCs/>
          <w:kern w:val="0"/>
          <w:sz w:val="22"/>
          <w:szCs w:val="22"/>
          <w14:ligatures w14:val="none"/>
        </w:rPr>
        <w:t>這說明人人原則上都可得「公義之冠冕」，可見信徒與保羅是同類的，人人原則上可達保羅的神聖，人人可成聖保羅。</w:t>
      </w:r>
    </w:p>
    <w:p w14:paraId="4DC318F9" w14:textId="77777777" w:rsidR="00A90879" w:rsidRPr="00A90879" w:rsidRDefault="00A90879"/>
    <w:sectPr w:rsidR="00A90879" w:rsidRPr="00A9087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0BCFA" w14:textId="77777777" w:rsidR="00D079FB" w:rsidRDefault="00D079FB" w:rsidP="00A90879">
      <w:pPr>
        <w:spacing w:after="0" w:line="240" w:lineRule="auto"/>
      </w:pPr>
      <w:r>
        <w:separator/>
      </w:r>
    </w:p>
  </w:endnote>
  <w:endnote w:type="continuationSeparator" w:id="0">
    <w:p w14:paraId="2A31E3EE" w14:textId="77777777" w:rsidR="00D079FB" w:rsidRDefault="00D079FB" w:rsidP="00A90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28981" w14:textId="77777777" w:rsidR="00D079FB" w:rsidRDefault="00D079FB" w:rsidP="00A90879">
      <w:pPr>
        <w:spacing w:after="0" w:line="240" w:lineRule="auto"/>
      </w:pPr>
      <w:r>
        <w:separator/>
      </w:r>
    </w:p>
  </w:footnote>
  <w:footnote w:type="continuationSeparator" w:id="0">
    <w:p w14:paraId="02DA29FA" w14:textId="77777777" w:rsidR="00D079FB" w:rsidRDefault="00D079FB" w:rsidP="00A90879">
      <w:pPr>
        <w:spacing w:after="0" w:line="240" w:lineRule="auto"/>
      </w:pPr>
      <w:r>
        <w:continuationSeparator/>
      </w:r>
    </w:p>
  </w:footnote>
  <w:footnote w:id="1">
    <w:p w14:paraId="5CB6984D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993F36">
        <w:rPr>
          <w:rFonts w:hint="eastAsia"/>
        </w:rPr>
        <w:t>《通典</w:t>
      </w:r>
      <w:r w:rsidRPr="009E1E2C">
        <w:rPr>
          <w:rFonts w:hint="eastAsia"/>
        </w:rPr>
        <w:t>．</w:t>
      </w:r>
      <w:r w:rsidRPr="00993F36">
        <w:rPr>
          <w:rFonts w:hint="eastAsia"/>
        </w:rPr>
        <w:t>禮典》</w:t>
      </w:r>
    </w:p>
  </w:footnote>
  <w:footnote w:id="2">
    <w:p w14:paraId="63FD9B49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F34F1A">
        <w:rPr>
          <w:rFonts w:hint="eastAsia"/>
        </w:rPr>
        <w:t>《禮記</w:t>
      </w:r>
      <w:r w:rsidRPr="009E1E2C">
        <w:rPr>
          <w:rFonts w:hint="eastAsia"/>
        </w:rPr>
        <w:t>．</w:t>
      </w:r>
      <w:r w:rsidRPr="00F34F1A">
        <w:rPr>
          <w:rFonts w:hint="eastAsia"/>
        </w:rPr>
        <w:t xml:space="preserve"> </w:t>
      </w:r>
      <w:r w:rsidRPr="00F34F1A">
        <w:rPr>
          <w:rFonts w:hint="eastAsia"/>
        </w:rPr>
        <w:t>射義》</w:t>
      </w:r>
    </w:p>
  </w:footnote>
  <w:footnote w:id="3">
    <w:p w14:paraId="133B2D25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6C2B44">
        <w:rPr>
          <w:rFonts w:hint="eastAsia"/>
        </w:rPr>
        <w:t>王肅</w:t>
      </w:r>
      <w:r w:rsidRPr="007B5BB3">
        <w:rPr>
          <w:rFonts w:hint="eastAsia"/>
        </w:rPr>
        <w:t>《孔子家語</w:t>
      </w:r>
      <w:r w:rsidRPr="009E1E2C">
        <w:rPr>
          <w:rFonts w:hint="eastAsia"/>
        </w:rPr>
        <w:t>．</w:t>
      </w:r>
      <w:r w:rsidRPr="007B5BB3">
        <w:rPr>
          <w:rFonts w:hint="eastAsia"/>
        </w:rPr>
        <w:t>觀鄉射》</w:t>
      </w:r>
    </w:p>
  </w:footnote>
  <w:footnote w:id="4">
    <w:p w14:paraId="603F8DF3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rPr>
          <w:rFonts w:hint="eastAsia"/>
        </w:rPr>
        <w:t xml:space="preserve"> </w:t>
      </w:r>
      <w:r w:rsidRPr="00BB5871">
        <w:rPr>
          <w:rFonts w:hint="eastAsia"/>
        </w:rPr>
        <w:t>《禮記</w:t>
      </w:r>
      <w:r w:rsidRPr="009E1E2C">
        <w:rPr>
          <w:rFonts w:hint="eastAsia"/>
        </w:rPr>
        <w:t>．</w:t>
      </w:r>
      <w:r w:rsidRPr="00BB5871">
        <w:rPr>
          <w:rFonts w:hint="eastAsia"/>
        </w:rPr>
        <w:t>射義》</w:t>
      </w:r>
    </w:p>
  </w:footnote>
  <w:footnote w:id="5">
    <w:p w14:paraId="0135953F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 </w:t>
      </w:r>
      <w:r w:rsidRPr="006D2751">
        <w:rPr>
          <w:rFonts w:hint="eastAsia"/>
        </w:rPr>
        <w:t>漢鄭玄注，唐孔穎達疏</w:t>
      </w:r>
      <w:r w:rsidRPr="00097750">
        <w:rPr>
          <w:rFonts w:hint="eastAsia"/>
        </w:rPr>
        <w:t>，</w:t>
      </w:r>
      <w:r w:rsidRPr="006D2751">
        <w:rPr>
          <w:rFonts w:hint="eastAsia"/>
        </w:rPr>
        <w:t>《禮記正義•</w:t>
      </w:r>
      <w:r w:rsidRPr="006D2751">
        <w:rPr>
          <w:rFonts w:hint="eastAsia"/>
        </w:rPr>
        <w:t xml:space="preserve"> </w:t>
      </w:r>
      <w:r w:rsidRPr="006D2751">
        <w:rPr>
          <w:rFonts w:hint="eastAsia"/>
        </w:rPr>
        <w:t>射義》</w:t>
      </w:r>
    </w:p>
  </w:footnote>
  <w:footnote w:id="6">
    <w:p w14:paraId="7FAB4FEC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 </w:t>
      </w:r>
      <w:r w:rsidRPr="003375EF">
        <w:rPr>
          <w:rFonts w:hint="eastAsia"/>
        </w:rPr>
        <w:t>范寧注，《穀梁傳集解》卷十</w:t>
      </w:r>
      <w:r>
        <w:rPr>
          <w:rFonts w:hint="eastAsia"/>
        </w:rPr>
        <w:t xml:space="preserve"> </w:t>
      </w:r>
      <w:r w:rsidRPr="003375EF">
        <w:rPr>
          <w:rFonts w:hint="eastAsia"/>
        </w:rPr>
        <w:t>七</w:t>
      </w:r>
    </w:p>
  </w:footnote>
  <w:footnote w:id="7">
    <w:p w14:paraId="6A262039" w14:textId="77777777" w:rsidR="00A90879" w:rsidRDefault="00A90879" w:rsidP="00A90879">
      <w:pPr>
        <w:pStyle w:val="ae"/>
        <w:rPr>
          <w:lang w:eastAsia="zh-CN"/>
        </w:rPr>
      </w:pPr>
      <w:r>
        <w:rPr>
          <w:rStyle w:val="af0"/>
        </w:rPr>
        <w:footnoteRef/>
      </w:r>
      <w:r>
        <w:rPr>
          <w:lang w:eastAsia="zh-CN"/>
        </w:rPr>
        <w:t xml:space="preserve"> </w:t>
      </w:r>
      <w:r w:rsidRPr="00310F90">
        <w:rPr>
          <w:rFonts w:hint="eastAsia"/>
          <w:lang w:eastAsia="zh-CN"/>
        </w:rPr>
        <w:t>《史记</w:t>
      </w:r>
      <w:r w:rsidRPr="009E1E2C">
        <w:rPr>
          <w:rFonts w:hint="eastAsia"/>
          <w:lang w:eastAsia="zh-CN"/>
        </w:rPr>
        <w:t>．</w:t>
      </w:r>
      <w:r w:rsidRPr="00310F90">
        <w:rPr>
          <w:rFonts w:hint="eastAsia"/>
          <w:lang w:eastAsia="zh-CN"/>
        </w:rPr>
        <w:t>孔子世家》卷四十</w:t>
      </w:r>
    </w:p>
  </w:footnote>
  <w:footnote w:id="8">
    <w:p w14:paraId="53AF0A17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《論語．</w:t>
      </w:r>
      <w:r w:rsidRPr="00330858">
        <w:rPr>
          <w:rFonts w:hint="eastAsia"/>
        </w:rPr>
        <w:t>顏淵》</w:t>
      </w:r>
    </w:p>
  </w:footnote>
  <w:footnote w:id="9">
    <w:p w14:paraId="7D22F6F5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《論語．</w:t>
      </w:r>
      <w:r w:rsidRPr="00330858">
        <w:rPr>
          <w:rFonts w:hint="eastAsia"/>
        </w:rPr>
        <w:t>顏淵》</w:t>
      </w:r>
    </w:p>
  </w:footnote>
  <w:footnote w:id="10">
    <w:p w14:paraId="416916B4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《論語．</w:t>
      </w:r>
      <w:r w:rsidRPr="004F2D2C">
        <w:rPr>
          <w:rFonts w:hint="eastAsia"/>
        </w:rPr>
        <w:t>雍也</w:t>
      </w:r>
      <w:r w:rsidRPr="00330858">
        <w:rPr>
          <w:rFonts w:hint="eastAsia"/>
        </w:rPr>
        <w:t>》</w:t>
      </w:r>
    </w:p>
  </w:footnote>
  <w:footnote w:id="11">
    <w:p w14:paraId="7798E169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4F2D2C">
        <w:rPr>
          <w:rFonts w:hint="eastAsia"/>
        </w:rPr>
        <w:t>《</w:t>
      </w:r>
      <w:r w:rsidRPr="004F2D2C">
        <w:rPr>
          <w:rFonts w:hint="eastAsia"/>
        </w:rPr>
        <w:t xml:space="preserve"> </w:t>
      </w:r>
      <w:r w:rsidRPr="004F2D2C">
        <w:rPr>
          <w:rFonts w:hint="eastAsia"/>
        </w:rPr>
        <w:t>論語．</w:t>
      </w:r>
      <w:r w:rsidRPr="004F2D2C">
        <w:rPr>
          <w:rFonts w:hint="eastAsia"/>
        </w:rPr>
        <w:t xml:space="preserve"> </w:t>
      </w:r>
      <w:r w:rsidRPr="004F2D2C">
        <w:rPr>
          <w:rFonts w:hint="eastAsia"/>
        </w:rPr>
        <w:t>學而》</w:t>
      </w:r>
    </w:p>
  </w:footnote>
  <w:footnote w:id="12">
    <w:p w14:paraId="3F0C7A2C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AF6694">
        <w:rPr>
          <w:rFonts w:hint="eastAsia"/>
        </w:rPr>
        <w:t>《論語</w:t>
      </w:r>
      <w:r w:rsidRPr="009E1E2C">
        <w:rPr>
          <w:rFonts w:hint="eastAsia"/>
        </w:rPr>
        <w:t>．</w:t>
      </w:r>
      <w:r>
        <w:rPr>
          <w:rFonts w:hint="eastAsia"/>
        </w:rPr>
        <w:t>八佾</w:t>
      </w:r>
      <w:r w:rsidRPr="00AF6694">
        <w:rPr>
          <w:rFonts w:hint="eastAsia"/>
        </w:rPr>
        <w:t>》</w:t>
      </w:r>
    </w:p>
  </w:footnote>
  <w:footnote w:id="13">
    <w:p w14:paraId="5CB7BBBB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AF6694">
        <w:rPr>
          <w:rFonts w:hint="eastAsia"/>
        </w:rPr>
        <w:t>《中庸·十四章》</w:t>
      </w:r>
    </w:p>
  </w:footnote>
  <w:footnote w:id="14">
    <w:p w14:paraId="0FA9D54B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《論語</w:t>
      </w:r>
      <w:r w:rsidRPr="009E1E2C">
        <w:rPr>
          <w:rFonts w:hint="eastAsia"/>
        </w:rPr>
        <w:t>．</w:t>
      </w:r>
      <w:r w:rsidRPr="00202E49">
        <w:rPr>
          <w:rFonts w:hint="eastAsia"/>
        </w:rPr>
        <w:t>里仁》</w:t>
      </w:r>
    </w:p>
  </w:footnote>
  <w:footnote w:id="15">
    <w:p w14:paraId="0168685B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《論語</w:t>
      </w:r>
      <w:r w:rsidRPr="009E1E2C">
        <w:rPr>
          <w:rFonts w:hint="eastAsia"/>
        </w:rPr>
        <w:t>．</w:t>
      </w:r>
      <w:r w:rsidRPr="005E1AF8">
        <w:rPr>
          <w:rFonts w:hint="eastAsia"/>
        </w:rPr>
        <w:t>公治長》</w:t>
      </w:r>
    </w:p>
  </w:footnote>
  <w:footnote w:id="16">
    <w:p w14:paraId="1D7810D3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E9268A">
        <w:rPr>
          <w:rFonts w:hint="eastAsia"/>
        </w:rPr>
        <w:t>《論語</w:t>
      </w:r>
      <w:r w:rsidRPr="009E1E2C">
        <w:rPr>
          <w:rFonts w:hint="eastAsia"/>
        </w:rPr>
        <w:t>．</w:t>
      </w:r>
      <w:r w:rsidRPr="00E9268A">
        <w:rPr>
          <w:rFonts w:hint="eastAsia"/>
        </w:rPr>
        <w:t>里仁》</w:t>
      </w:r>
    </w:p>
  </w:footnote>
  <w:footnote w:id="17">
    <w:p w14:paraId="222A371C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《論語</w:t>
      </w:r>
      <w:r w:rsidRPr="009E1E2C">
        <w:rPr>
          <w:rFonts w:hint="eastAsia"/>
        </w:rPr>
        <w:t>．</w:t>
      </w:r>
      <w:r w:rsidRPr="00097750">
        <w:rPr>
          <w:rFonts w:hint="eastAsia"/>
        </w:rPr>
        <w:t>顏淵》</w:t>
      </w:r>
    </w:p>
  </w:footnote>
  <w:footnote w:id="18">
    <w:p w14:paraId="489104F3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097750">
        <w:rPr>
          <w:rFonts w:hint="eastAsia"/>
        </w:rPr>
        <w:t>《論語</w:t>
      </w:r>
      <w:r w:rsidRPr="009E1E2C">
        <w:rPr>
          <w:rFonts w:hint="eastAsia"/>
        </w:rPr>
        <w:t>．</w:t>
      </w:r>
      <w:r w:rsidRPr="00097750">
        <w:rPr>
          <w:rFonts w:hint="eastAsia"/>
        </w:rPr>
        <w:t>顏淵》</w:t>
      </w:r>
    </w:p>
  </w:footnote>
  <w:footnote w:id="19">
    <w:p w14:paraId="7E77C351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097750">
        <w:rPr>
          <w:rFonts w:hint="eastAsia"/>
        </w:rPr>
        <w:t>《論語</w:t>
      </w:r>
      <w:r w:rsidRPr="009E1E2C">
        <w:rPr>
          <w:rFonts w:hint="eastAsia"/>
        </w:rPr>
        <w:t>．</w:t>
      </w:r>
      <w:r w:rsidRPr="00097750">
        <w:rPr>
          <w:rFonts w:hint="eastAsia"/>
        </w:rPr>
        <w:t>·學而》</w:t>
      </w:r>
    </w:p>
  </w:footnote>
  <w:footnote w:id="20">
    <w:p w14:paraId="538CE546" w14:textId="77777777" w:rsidR="00A90879" w:rsidRPr="00D42F57" w:rsidRDefault="00A90879" w:rsidP="00A90879">
      <w:pPr>
        <w:pStyle w:val="ae"/>
        <w:rPr>
          <w:rFonts w:eastAsia="SimSun"/>
        </w:rPr>
      </w:pPr>
      <w:r>
        <w:rPr>
          <w:rStyle w:val="af0"/>
        </w:rPr>
        <w:footnoteRef/>
      </w:r>
      <w:r>
        <w:t xml:space="preserve"> </w:t>
      </w:r>
      <w:r w:rsidRPr="00D42F57">
        <w:rPr>
          <w:rFonts w:hint="eastAsia"/>
        </w:rPr>
        <w:t>《孟子．滕文公》</w:t>
      </w:r>
    </w:p>
  </w:footnote>
  <w:footnote w:id="21">
    <w:p w14:paraId="5F44892B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 </w:t>
      </w:r>
      <w:r w:rsidRPr="00D42F57">
        <w:rPr>
          <w:rFonts w:hint="eastAsia"/>
        </w:rPr>
        <w:t>同上</w:t>
      </w:r>
    </w:p>
  </w:footnote>
  <w:footnote w:id="22">
    <w:p w14:paraId="634F0F2F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C33B15">
        <w:rPr>
          <w:rFonts w:hint="eastAsia"/>
        </w:rPr>
        <w:t>《孟子．公孫丑》</w:t>
      </w:r>
    </w:p>
  </w:footnote>
  <w:footnote w:id="23">
    <w:p w14:paraId="6B0672BC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《孟子</w:t>
      </w:r>
      <w:r w:rsidRPr="00575F2C">
        <w:rPr>
          <w:rFonts w:hint="eastAsia"/>
        </w:rPr>
        <w:t>．</w:t>
      </w:r>
      <w:r>
        <w:rPr>
          <w:rFonts w:hint="eastAsia"/>
        </w:rPr>
        <w:t>·離婁</w:t>
      </w:r>
      <w:r w:rsidRPr="00575F2C">
        <w:rPr>
          <w:rFonts w:hint="eastAsia"/>
        </w:rPr>
        <w:t>》</w:t>
      </w:r>
    </w:p>
  </w:footnote>
  <w:footnote w:id="24">
    <w:p w14:paraId="716C8F61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933D96">
        <w:rPr>
          <w:rFonts w:hint="eastAsia"/>
        </w:rPr>
        <w:t>《孟子．告子》</w:t>
      </w:r>
    </w:p>
  </w:footnote>
  <w:footnote w:id="25">
    <w:p w14:paraId="6CC56A75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333F76">
        <w:rPr>
          <w:rFonts w:hint="eastAsia"/>
        </w:rPr>
        <w:t>《孟子．盡心》</w:t>
      </w:r>
    </w:p>
  </w:footnote>
  <w:footnote w:id="26">
    <w:p w14:paraId="6C91EBD5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《孟子．</w:t>
      </w:r>
      <w:r w:rsidRPr="006544D5">
        <w:rPr>
          <w:rFonts w:hint="eastAsia"/>
        </w:rPr>
        <w:t>離婁</w:t>
      </w:r>
      <w:r w:rsidRPr="00933D96">
        <w:rPr>
          <w:rFonts w:hint="eastAsia"/>
        </w:rPr>
        <w:t>》</w:t>
      </w:r>
    </w:p>
  </w:footnote>
  <w:footnote w:id="27">
    <w:p w14:paraId="351148C9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6544D5">
        <w:rPr>
          <w:rFonts w:hint="eastAsia"/>
        </w:rPr>
        <w:t>《孟子．告子》</w:t>
      </w:r>
    </w:p>
  </w:footnote>
  <w:footnote w:id="28">
    <w:p w14:paraId="73220AFA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 </w:t>
      </w:r>
      <w:r w:rsidRPr="006544D5">
        <w:rPr>
          <w:rFonts w:hint="eastAsia"/>
        </w:rPr>
        <w:t>同上</w:t>
      </w:r>
    </w:p>
  </w:footnote>
  <w:footnote w:id="29">
    <w:p w14:paraId="7C0C0F5B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《孟子．</w:t>
      </w:r>
      <w:r w:rsidRPr="005D75F9">
        <w:rPr>
          <w:rFonts w:hint="eastAsia"/>
        </w:rPr>
        <w:t>公孫丑》</w:t>
      </w:r>
    </w:p>
  </w:footnote>
  <w:footnote w:id="30">
    <w:p w14:paraId="75B5FDAE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3B3A99">
        <w:rPr>
          <w:rFonts w:hint="eastAsia"/>
        </w:rPr>
        <w:t>朱熹，《四書章句集注</w:t>
      </w:r>
      <w:r w:rsidRPr="00D23052">
        <w:rPr>
          <w:rFonts w:hint="eastAsia"/>
        </w:rPr>
        <w:t>．</w:t>
      </w:r>
      <w:r>
        <w:rPr>
          <w:rFonts w:hint="eastAsia"/>
        </w:rPr>
        <w:t>公孫</w:t>
      </w:r>
      <w:r w:rsidRPr="00D23052">
        <w:rPr>
          <w:rFonts w:hint="eastAsia"/>
        </w:rPr>
        <w:t>丑</w:t>
      </w:r>
      <w:r w:rsidRPr="003B3A99">
        <w:rPr>
          <w:rFonts w:hint="eastAsia"/>
        </w:rPr>
        <w:t>》</w:t>
      </w:r>
    </w:p>
  </w:footnote>
  <w:footnote w:id="31">
    <w:p w14:paraId="61D20481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《孟子．</w:t>
      </w:r>
      <w:r w:rsidRPr="00983B90">
        <w:rPr>
          <w:rFonts w:hint="eastAsia"/>
        </w:rPr>
        <w:t>盡心》</w:t>
      </w:r>
    </w:p>
  </w:footnote>
  <w:footnote w:id="32">
    <w:p w14:paraId="5103B249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朱熹，《四書章句集注．</w:t>
      </w:r>
      <w:r w:rsidRPr="00CD5089">
        <w:rPr>
          <w:rFonts w:hint="eastAsia"/>
        </w:rPr>
        <w:t>盡心》</w:t>
      </w:r>
    </w:p>
  </w:footnote>
  <w:footnote w:id="33">
    <w:p w14:paraId="15DB8A2A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 </w:t>
      </w:r>
      <w:r w:rsidRPr="00151B42">
        <w:rPr>
          <w:rFonts w:hint="eastAsia"/>
        </w:rPr>
        <w:t>同上</w:t>
      </w:r>
    </w:p>
  </w:footnote>
  <w:footnote w:id="34">
    <w:p w14:paraId="22503976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 </w:t>
      </w:r>
      <w:r w:rsidRPr="00983B90">
        <w:rPr>
          <w:rFonts w:hint="eastAsia"/>
        </w:rPr>
        <w:t>朱熹，《四書章句集注．公孫丑》</w:t>
      </w:r>
    </w:p>
  </w:footnote>
  <w:footnote w:id="35">
    <w:p w14:paraId="7AB9334A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3F4680">
        <w:rPr>
          <w:rFonts w:hint="eastAsia"/>
        </w:rPr>
        <w:t>何休注</w:t>
      </w:r>
      <w:r w:rsidRPr="00DD2213">
        <w:rPr>
          <w:rFonts w:hint="eastAsia"/>
        </w:rPr>
        <w:t>，</w:t>
      </w:r>
      <w:r w:rsidRPr="003F4680">
        <w:rPr>
          <w:rFonts w:hint="eastAsia"/>
        </w:rPr>
        <w:t>《春秋公羊經傳解詁</w:t>
      </w:r>
      <w:r w:rsidRPr="00DA2C2C">
        <w:rPr>
          <w:rFonts w:hint="eastAsia"/>
        </w:rPr>
        <w:t>．隱公第一</w:t>
      </w:r>
      <w:r w:rsidRPr="003F4680">
        <w:rPr>
          <w:rFonts w:hint="eastAsia"/>
        </w:rPr>
        <w:t>》</w:t>
      </w:r>
    </w:p>
  </w:footnote>
  <w:footnote w:id="36">
    <w:p w14:paraId="2DF18C67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D23052">
        <w:rPr>
          <w:rFonts w:hint="eastAsia"/>
        </w:rPr>
        <w:t>朱熹，《四書章句集注．公孫丑》</w:t>
      </w:r>
    </w:p>
  </w:footnote>
  <w:footnote w:id="37">
    <w:p w14:paraId="26A42243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7C624D">
        <w:rPr>
          <w:rFonts w:hint="eastAsia"/>
        </w:rPr>
        <w:t>《説文解字．餒》</w:t>
      </w:r>
    </w:p>
  </w:footnote>
  <w:footnote w:id="38">
    <w:p w14:paraId="01C32BD3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《孟子．</w:t>
      </w:r>
      <w:r w:rsidRPr="000401A4">
        <w:rPr>
          <w:rFonts w:hint="eastAsia"/>
        </w:rPr>
        <w:t>告子</w:t>
      </w:r>
      <w:r w:rsidRPr="00F30CC6">
        <w:rPr>
          <w:rFonts w:hint="eastAsia"/>
        </w:rPr>
        <w:t>》</w:t>
      </w:r>
    </w:p>
  </w:footnote>
  <w:footnote w:id="39">
    <w:p w14:paraId="3774FC12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《孟子．</w:t>
      </w:r>
      <w:r w:rsidRPr="000401A4">
        <w:rPr>
          <w:rFonts w:hint="eastAsia"/>
        </w:rPr>
        <w:t>離婁》</w:t>
      </w:r>
    </w:p>
  </w:footnote>
  <w:footnote w:id="40">
    <w:p w14:paraId="1DF6FDC9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516912">
        <w:rPr>
          <w:rFonts w:hint="eastAsia"/>
        </w:rPr>
        <w:t>焦循，《孟子正義．公孫丑</w:t>
      </w:r>
      <w:r>
        <w:rPr>
          <w:rFonts w:hint="eastAsia"/>
        </w:rPr>
        <w:t xml:space="preserve"> </w:t>
      </w:r>
      <w:r w:rsidRPr="00F75179">
        <w:rPr>
          <w:rFonts w:hint="eastAsia"/>
        </w:rPr>
        <w:t>上</w:t>
      </w:r>
      <w:r w:rsidRPr="00F75179">
        <w:rPr>
          <w:rFonts w:hint="eastAsia"/>
        </w:rPr>
        <w:t>2</w:t>
      </w:r>
      <w:r w:rsidRPr="00516912">
        <w:rPr>
          <w:rFonts w:hint="eastAsia"/>
        </w:rPr>
        <w:t>》</w:t>
      </w:r>
    </w:p>
  </w:footnote>
  <w:footnote w:id="41">
    <w:p w14:paraId="2772B7D3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0E44ED">
        <w:rPr>
          <w:rFonts w:hint="eastAsia"/>
        </w:rPr>
        <w:t>朱熹，《四書章句集注．公孫丑</w:t>
      </w:r>
      <w:r>
        <w:rPr>
          <w:rFonts w:hint="eastAsia"/>
        </w:rPr>
        <w:t xml:space="preserve"> </w:t>
      </w:r>
      <w:r w:rsidRPr="00F75179">
        <w:rPr>
          <w:rFonts w:hint="eastAsia"/>
        </w:rPr>
        <w:t>上</w:t>
      </w:r>
      <w:r>
        <w:rPr>
          <w:rFonts w:hint="eastAsia"/>
        </w:rPr>
        <w:t>2</w:t>
      </w:r>
      <w:r w:rsidRPr="000E44ED">
        <w:rPr>
          <w:rFonts w:hint="eastAsia"/>
        </w:rPr>
        <w:t>》</w:t>
      </w:r>
    </w:p>
  </w:footnote>
  <w:footnote w:id="42">
    <w:p w14:paraId="7702EF24" w14:textId="77777777" w:rsidR="00A90879" w:rsidRDefault="00A90879" w:rsidP="00A90879">
      <w:pPr>
        <w:pStyle w:val="ae"/>
      </w:pPr>
      <w:r>
        <w:rPr>
          <w:rStyle w:val="af0"/>
        </w:rPr>
        <w:footnoteRef/>
      </w:r>
      <w:r w:rsidRPr="007071FE">
        <w:rPr>
          <w:rFonts w:hint="eastAsia"/>
        </w:rPr>
        <w:t>王陽</w:t>
      </w:r>
      <w:r w:rsidRPr="00F77BF6">
        <w:rPr>
          <w:rFonts w:hint="eastAsia"/>
        </w:rPr>
        <w:t>明，</w:t>
      </w:r>
      <w:r>
        <w:rPr>
          <w:rFonts w:hint="eastAsia"/>
        </w:rPr>
        <w:t>《傳習錄》</w:t>
      </w:r>
      <w:r w:rsidRPr="007071FE">
        <w:rPr>
          <w:rFonts w:hint="eastAsia"/>
        </w:rPr>
        <w:t>，</w:t>
      </w:r>
      <w:r w:rsidRPr="007071FE">
        <w:t>166</w:t>
      </w:r>
      <w:r w:rsidRPr="007071FE">
        <w:rPr>
          <w:rFonts w:hint="eastAsia"/>
        </w:rPr>
        <w:t>篇</w:t>
      </w:r>
    </w:p>
  </w:footnote>
  <w:footnote w:id="43">
    <w:p w14:paraId="469D41F2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F77BF6">
        <w:rPr>
          <w:rFonts w:hint="eastAsia"/>
        </w:rPr>
        <w:t>傅佩榮，孟子：想</w:t>
      </w:r>
      <w:r w:rsidRPr="00F77BF6">
        <w:rPr>
          <w:rFonts w:hint="eastAsia"/>
        </w:rPr>
        <w:t>"</w:t>
      </w:r>
      <w:r w:rsidRPr="00F77BF6">
        <w:rPr>
          <w:rFonts w:hint="eastAsia"/>
        </w:rPr>
        <w:t>不動心</w:t>
      </w:r>
      <w:r w:rsidRPr="00F77BF6">
        <w:rPr>
          <w:rFonts w:hint="eastAsia"/>
        </w:rPr>
        <w:t>"</w:t>
      </w:r>
      <w:r w:rsidRPr="00F77BF6">
        <w:rPr>
          <w:rFonts w:hint="eastAsia"/>
        </w:rPr>
        <w:t>先</w:t>
      </w:r>
      <w:r w:rsidRPr="00F77BF6">
        <w:rPr>
          <w:rFonts w:hint="eastAsia"/>
        </w:rPr>
        <w:t>"</w:t>
      </w:r>
      <w:r w:rsidRPr="00F77BF6">
        <w:rPr>
          <w:rFonts w:hint="eastAsia"/>
        </w:rPr>
        <w:t>養勇</w:t>
      </w:r>
      <w:r w:rsidRPr="00F77BF6">
        <w:rPr>
          <w:rFonts w:hint="eastAsia"/>
        </w:rPr>
        <w:t xml:space="preserve">" </w:t>
      </w:r>
      <w:r w:rsidRPr="00F77BF6">
        <w:rPr>
          <w:rFonts w:hint="eastAsia"/>
        </w:rPr>
        <w:t>“浩然之氣”由心著手，《解放日報》，</w:t>
      </w:r>
      <w:r w:rsidRPr="00F77BF6">
        <w:rPr>
          <w:rFonts w:hint="eastAsia"/>
        </w:rPr>
        <w:t>2015</w:t>
      </w:r>
      <w:r w:rsidRPr="00F77BF6">
        <w:rPr>
          <w:rFonts w:hint="eastAsia"/>
        </w:rPr>
        <w:t>年</w:t>
      </w:r>
      <w:r w:rsidRPr="00F77BF6">
        <w:rPr>
          <w:rFonts w:hint="eastAsia"/>
        </w:rPr>
        <w:t>04</w:t>
      </w:r>
      <w:r w:rsidRPr="00F77BF6">
        <w:rPr>
          <w:rFonts w:hint="eastAsia"/>
        </w:rPr>
        <w:t>月</w:t>
      </w:r>
      <w:r w:rsidRPr="00F77BF6">
        <w:rPr>
          <w:rFonts w:hint="eastAsia"/>
        </w:rPr>
        <w:t>13</w:t>
      </w:r>
      <w:r w:rsidRPr="00F77BF6">
        <w:rPr>
          <w:rFonts w:hint="eastAsia"/>
        </w:rPr>
        <w:t>日</w:t>
      </w:r>
      <w:r w:rsidRPr="00F77BF6">
        <w:t>http://culture.people.com.cn/BIG5/n/2015/0413/c22219-26837251.html</w:t>
      </w:r>
    </w:p>
  </w:footnote>
  <w:footnote w:id="44">
    <w:p w14:paraId="19F7C326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《論語</w:t>
      </w:r>
      <w:r w:rsidRPr="001A3C8D">
        <w:rPr>
          <w:rFonts w:hint="eastAsia"/>
        </w:rPr>
        <w:t>．</w:t>
      </w:r>
      <w:r w:rsidRPr="00097750">
        <w:rPr>
          <w:rFonts w:hint="eastAsia"/>
        </w:rPr>
        <w:t>顏淵》</w:t>
      </w:r>
    </w:p>
  </w:footnote>
  <w:footnote w:id="45">
    <w:p w14:paraId="5106414D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333F76">
        <w:rPr>
          <w:rFonts w:hint="eastAsia"/>
        </w:rPr>
        <w:t>《孟子．公孫丑》</w:t>
      </w:r>
    </w:p>
  </w:footnote>
  <w:footnote w:id="46">
    <w:p w14:paraId="7803FF29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733CC8">
        <w:rPr>
          <w:rFonts w:hint="eastAsia"/>
        </w:rPr>
        <w:t>《</w:t>
      </w:r>
      <w:r>
        <w:rPr>
          <w:rFonts w:hint="eastAsia"/>
        </w:rPr>
        <w:t>論語</w:t>
      </w:r>
      <w:r w:rsidRPr="001A3C8D">
        <w:rPr>
          <w:rFonts w:hint="eastAsia"/>
        </w:rPr>
        <w:t>．</w:t>
      </w:r>
      <w:r w:rsidRPr="00733CC8">
        <w:rPr>
          <w:rFonts w:hint="eastAsia"/>
        </w:rPr>
        <w:t>爲政》</w:t>
      </w:r>
    </w:p>
  </w:footnote>
  <w:footnote w:id="47">
    <w:p w14:paraId="4C60C014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7D7407">
        <w:rPr>
          <w:rFonts w:hint="eastAsia"/>
        </w:rPr>
        <w:t>《孟子．盡心》</w:t>
      </w:r>
    </w:p>
  </w:footnote>
  <w:footnote w:id="48">
    <w:p w14:paraId="36B5A698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652EEA">
        <w:rPr>
          <w:rFonts w:hint="eastAsia"/>
        </w:rPr>
        <w:t>漢趙岐注、宋孫奭疏，《孟子注疏．盡心</w:t>
      </w:r>
      <w:r>
        <w:rPr>
          <w:rFonts w:hint="eastAsia"/>
        </w:rPr>
        <w:t xml:space="preserve"> </w:t>
      </w:r>
      <w:r w:rsidRPr="00F75179">
        <w:rPr>
          <w:rFonts w:hint="eastAsia"/>
        </w:rPr>
        <w:t>上</w:t>
      </w:r>
      <w:r>
        <w:rPr>
          <w:rFonts w:hint="eastAsia"/>
        </w:rPr>
        <w:t>1</w:t>
      </w:r>
      <w:r w:rsidRPr="00652EEA">
        <w:rPr>
          <w:rFonts w:hint="eastAsia"/>
        </w:rPr>
        <w:t>》</w:t>
      </w:r>
    </w:p>
  </w:footnote>
  <w:footnote w:id="49">
    <w:p w14:paraId="71C4DB33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652EEA">
        <w:rPr>
          <w:rFonts w:hint="eastAsia"/>
        </w:rPr>
        <w:t>朱熹，《四書章句集注．盡心》</w:t>
      </w:r>
    </w:p>
  </w:footnote>
  <w:footnote w:id="50">
    <w:p w14:paraId="281A2665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333F76">
        <w:rPr>
          <w:rFonts w:hint="eastAsia"/>
        </w:rPr>
        <w:t>《孟子．盡心》</w:t>
      </w:r>
    </w:p>
  </w:footnote>
  <w:footnote w:id="51">
    <w:p w14:paraId="0E3FB5B4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23577A">
        <w:rPr>
          <w:rFonts w:hint="eastAsia"/>
        </w:rPr>
        <w:t>漢趙岐注、宋孫奭疏，《孟子注疏．盡心</w:t>
      </w:r>
      <w:r>
        <w:rPr>
          <w:rFonts w:hint="eastAsia"/>
        </w:rPr>
        <w:t xml:space="preserve"> </w:t>
      </w:r>
      <w:r w:rsidRPr="00F75179">
        <w:rPr>
          <w:rFonts w:hint="eastAsia"/>
        </w:rPr>
        <w:t>上</w:t>
      </w:r>
      <w:r>
        <w:rPr>
          <w:rFonts w:hint="eastAsia"/>
        </w:rPr>
        <w:t>1</w:t>
      </w:r>
      <w:r w:rsidRPr="0023577A">
        <w:rPr>
          <w:rFonts w:hint="eastAsia"/>
        </w:rPr>
        <w:t>》</w:t>
      </w:r>
    </w:p>
  </w:footnote>
  <w:footnote w:id="52">
    <w:p w14:paraId="3D2A7908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170B3A">
        <w:rPr>
          <w:rFonts w:hint="eastAsia"/>
        </w:rPr>
        <w:t>朱熹，《四書章句集注．盡心</w:t>
      </w:r>
      <w:r>
        <w:rPr>
          <w:rFonts w:hint="eastAsia"/>
        </w:rPr>
        <w:t xml:space="preserve"> </w:t>
      </w:r>
      <w:r w:rsidRPr="00F75179">
        <w:rPr>
          <w:rFonts w:hint="eastAsia"/>
        </w:rPr>
        <w:t>上</w:t>
      </w:r>
      <w:r>
        <w:rPr>
          <w:rFonts w:hint="eastAsia"/>
        </w:rPr>
        <w:t>1</w:t>
      </w:r>
      <w:r w:rsidRPr="00170B3A">
        <w:rPr>
          <w:rFonts w:hint="eastAsia"/>
        </w:rPr>
        <w:t>》</w:t>
      </w:r>
    </w:p>
  </w:footnote>
  <w:footnote w:id="53">
    <w:p w14:paraId="2171FC0E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F75179">
        <w:rPr>
          <w:rFonts w:hint="eastAsia"/>
        </w:rPr>
        <w:t>漢趙岐注、宋孫奭疏，《孟子注疏．盡心</w:t>
      </w:r>
      <w:r>
        <w:rPr>
          <w:rFonts w:hint="eastAsia"/>
        </w:rPr>
        <w:t xml:space="preserve"> </w:t>
      </w:r>
      <w:r w:rsidRPr="00F75179">
        <w:rPr>
          <w:rFonts w:hint="eastAsia"/>
        </w:rPr>
        <w:t>上</w:t>
      </w:r>
      <w:r>
        <w:rPr>
          <w:rFonts w:hint="eastAsia"/>
        </w:rPr>
        <w:t>1</w:t>
      </w:r>
      <w:r w:rsidRPr="00F75179">
        <w:rPr>
          <w:rFonts w:hint="eastAsia"/>
        </w:rPr>
        <w:t>》</w:t>
      </w:r>
    </w:p>
  </w:footnote>
  <w:footnote w:id="54">
    <w:p w14:paraId="2CDF57E4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5330E0">
        <w:t>Herodotus, The Histories, trans. Robin Waterfield (Oxford: Oxford University Press, 1998), 8.26.3.</w:t>
      </w:r>
    </w:p>
  </w:footnote>
  <w:footnote w:id="55">
    <w:p w14:paraId="0F3B7F27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5330E0">
        <w:t>Strabo, Geography, trans. Horace L. Jones (London: Harvard University Press, 1927), 8.3.30.</w:t>
      </w:r>
    </w:p>
  </w:footnote>
  <w:footnote w:id="56">
    <w:p w14:paraId="7889ACEB" w14:textId="77777777" w:rsidR="00A90879" w:rsidRPr="00697385" w:rsidRDefault="00A90879" w:rsidP="00A90879">
      <w:pPr>
        <w:pStyle w:val="ae"/>
        <w:rPr>
          <w:rFonts w:eastAsia="SimSun"/>
        </w:rPr>
      </w:pPr>
      <w:r>
        <w:rPr>
          <w:rStyle w:val="af0"/>
        </w:rPr>
        <w:footnoteRef/>
      </w:r>
      <w:r>
        <w:t xml:space="preserve"> </w:t>
      </w:r>
      <w:r w:rsidRPr="007C53DF">
        <w:rPr>
          <w:rFonts w:hint="eastAsia"/>
        </w:rPr>
        <w:t>《聖經．哥林多前書</w:t>
      </w:r>
      <w:r w:rsidRPr="00697385">
        <w:rPr>
          <w:rFonts w:hint="eastAsia"/>
        </w:rPr>
        <w:t>》</w:t>
      </w:r>
      <w:r>
        <w:rPr>
          <w:rFonts w:eastAsia="SimSun" w:hint="eastAsia"/>
        </w:rPr>
        <w:t>9:24-27</w:t>
      </w:r>
    </w:p>
  </w:footnote>
  <w:footnote w:id="57">
    <w:p w14:paraId="54BBA496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197978">
        <w:rPr>
          <w:rFonts w:hint="eastAsia"/>
        </w:rPr>
        <w:t>《孟子．告子》</w:t>
      </w:r>
    </w:p>
  </w:footnote>
  <w:footnote w:id="58">
    <w:p w14:paraId="3DA5FA04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813396">
        <w:rPr>
          <w:rFonts w:hint="eastAsia"/>
        </w:rPr>
        <w:t>《聖經．提摩太後書</w:t>
      </w:r>
      <w:r w:rsidRPr="00813396">
        <w:rPr>
          <w:rFonts w:hint="eastAsia"/>
        </w:rPr>
        <w:t xml:space="preserve"> 4:</w:t>
      </w:r>
      <w:r>
        <w:t>7-</w:t>
      </w:r>
      <w:r w:rsidRPr="00813396">
        <w:rPr>
          <w:rFonts w:hint="eastAsia"/>
        </w:rPr>
        <w:t>8</w:t>
      </w:r>
      <w:r w:rsidRPr="00813396">
        <w:rPr>
          <w:rFonts w:hint="eastAsia"/>
        </w:rPr>
        <w:t>》</w:t>
      </w:r>
    </w:p>
  </w:footnote>
  <w:footnote w:id="59">
    <w:p w14:paraId="23753808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485E33">
        <w:rPr>
          <w:rFonts w:hint="eastAsia"/>
        </w:rPr>
        <w:t>《聖經．詩</w:t>
      </w:r>
      <w:r w:rsidRPr="00485E33">
        <w:rPr>
          <w:rFonts w:eastAsia="SimSun" w:hint="eastAsia"/>
        </w:rPr>
        <w:t>篇</w:t>
      </w:r>
      <w:r w:rsidRPr="00697385">
        <w:rPr>
          <w:rFonts w:eastAsia="SimSun" w:hint="eastAsia"/>
        </w:rPr>
        <w:t>》</w:t>
      </w:r>
      <w:r>
        <w:rPr>
          <w:rFonts w:hint="eastAsia"/>
        </w:rPr>
        <w:t>19:12-14</w:t>
      </w:r>
    </w:p>
  </w:footnote>
  <w:footnote w:id="60">
    <w:p w14:paraId="62F356CF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646C7D">
        <w:rPr>
          <w:rFonts w:hint="eastAsia"/>
        </w:rPr>
        <w:t>《聖經．</w:t>
      </w:r>
      <w:r>
        <w:rPr>
          <w:rFonts w:hint="eastAsia"/>
        </w:rPr>
        <w:t>路加福</w:t>
      </w:r>
      <w:r w:rsidRPr="00646C7D">
        <w:rPr>
          <w:rFonts w:hint="eastAsia"/>
        </w:rPr>
        <w:t>音</w:t>
      </w:r>
      <w:r w:rsidRPr="00646C7D">
        <w:rPr>
          <w:rFonts w:hint="eastAsia"/>
        </w:rPr>
        <w:t xml:space="preserve"> </w:t>
      </w:r>
      <w:r w:rsidRPr="00697385">
        <w:rPr>
          <w:rFonts w:hint="eastAsia"/>
        </w:rPr>
        <w:t>》</w:t>
      </w:r>
      <w:r>
        <w:rPr>
          <w:rFonts w:hint="eastAsia"/>
        </w:rPr>
        <w:t>11:34-36</w:t>
      </w:r>
    </w:p>
  </w:footnote>
  <w:footnote w:id="61">
    <w:p w14:paraId="2C561D1D" w14:textId="77777777" w:rsidR="00A90879" w:rsidRPr="00697385" w:rsidRDefault="00A90879" w:rsidP="00A90879">
      <w:pPr>
        <w:pStyle w:val="ae"/>
        <w:rPr>
          <w:rFonts w:eastAsia="SimSun"/>
        </w:rPr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《聖經．</w:t>
      </w:r>
      <w:r w:rsidRPr="00072911">
        <w:rPr>
          <w:rFonts w:hint="eastAsia"/>
        </w:rPr>
        <w:t>馬太福音</w:t>
      </w:r>
      <w:r>
        <w:rPr>
          <w:rFonts w:hint="eastAsia"/>
        </w:rPr>
        <w:t xml:space="preserve"> </w:t>
      </w:r>
      <w:r w:rsidRPr="00697385">
        <w:rPr>
          <w:rFonts w:hint="eastAsia"/>
        </w:rPr>
        <w:t>》</w:t>
      </w:r>
      <w:r>
        <w:rPr>
          <w:rFonts w:hint="eastAsia"/>
        </w:rPr>
        <w:t>7:1-</w:t>
      </w:r>
      <w:r w:rsidRPr="00072911">
        <w:rPr>
          <w:rFonts w:hint="eastAsia"/>
        </w:rPr>
        <w:t>6</w:t>
      </w:r>
    </w:p>
  </w:footnote>
  <w:footnote w:id="62">
    <w:p w14:paraId="7EA7BA2C" w14:textId="77777777" w:rsidR="00A90879" w:rsidRPr="00697385" w:rsidRDefault="00A90879" w:rsidP="00A90879">
      <w:pPr>
        <w:pStyle w:val="ae"/>
        <w:rPr>
          <w:rFonts w:eastAsia="SimSun"/>
        </w:rPr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《聖經．</w:t>
      </w:r>
      <w:r w:rsidRPr="00B02DBE">
        <w:rPr>
          <w:rFonts w:hint="eastAsia"/>
        </w:rPr>
        <w:t>約翰福音</w:t>
      </w:r>
      <w:r w:rsidRPr="00697385">
        <w:rPr>
          <w:rFonts w:hint="eastAsia"/>
        </w:rPr>
        <w:t>》</w:t>
      </w:r>
      <w:r>
        <w:rPr>
          <w:rFonts w:hint="eastAsia"/>
        </w:rPr>
        <w:t xml:space="preserve"> 6:7</w:t>
      </w:r>
    </w:p>
  </w:footnote>
  <w:footnote w:id="63">
    <w:p w14:paraId="039E259F" w14:textId="77777777" w:rsidR="00A90879" w:rsidRDefault="00A90879" w:rsidP="00A90879">
      <w:pPr>
        <w:pStyle w:val="ae"/>
      </w:pPr>
      <w:r>
        <w:rPr>
          <w:rStyle w:val="af0"/>
        </w:rPr>
        <w:footnoteRef/>
      </w:r>
      <w:r w:rsidRPr="007C427B">
        <w:rPr>
          <w:rFonts w:hint="eastAsia"/>
        </w:rPr>
        <w:t>參考</w:t>
      </w:r>
      <w:r>
        <w:t xml:space="preserve"> </w:t>
      </w:r>
      <w:r w:rsidRPr="000B79ED">
        <w:t>Martin</w:t>
      </w:r>
      <w:r>
        <w:t xml:space="preserve"> </w:t>
      </w:r>
      <w:r w:rsidRPr="000B79ED">
        <w:t>Buber,</w:t>
      </w:r>
      <w:r>
        <w:t xml:space="preserve"> </w:t>
      </w:r>
      <w:r w:rsidRPr="000B79ED">
        <w:t xml:space="preserve"> </w:t>
      </w:r>
      <w:r>
        <w:t>I and Thou, Trans</w:t>
      </w:r>
      <w:r w:rsidRPr="000B79ED">
        <w:t xml:space="preserve"> Walter Kaufmann. </w:t>
      </w:r>
      <w:r>
        <w:t>(</w:t>
      </w:r>
      <w:r w:rsidRPr="000B79ED">
        <w:t>Ne</w:t>
      </w:r>
      <w:r>
        <w:t xml:space="preserve">w York: Charles Scribner's Sons </w:t>
      </w:r>
      <w:r w:rsidRPr="000B79ED">
        <w:t>1970</w:t>
      </w:r>
      <w:r>
        <w:t>)</w:t>
      </w:r>
    </w:p>
  </w:footnote>
  <w:footnote w:id="64">
    <w:p w14:paraId="6515ED25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B323D4">
        <w:rPr>
          <w:rFonts w:hint="eastAsia"/>
        </w:rPr>
        <w:t>《聖經．詩篇</w:t>
      </w:r>
      <w:r w:rsidRPr="00697385">
        <w:rPr>
          <w:rFonts w:hint="eastAsia"/>
        </w:rPr>
        <w:t>》</w:t>
      </w:r>
      <w:r>
        <w:rPr>
          <w:rFonts w:hint="eastAsia"/>
        </w:rPr>
        <w:t>8:5</w:t>
      </w:r>
    </w:p>
  </w:footnote>
  <w:footnote w:id="65">
    <w:p w14:paraId="1537A0FA" w14:textId="77777777" w:rsidR="00A90879" w:rsidRPr="00697385" w:rsidRDefault="00A90879" w:rsidP="00A90879">
      <w:pPr>
        <w:pStyle w:val="ae"/>
        <w:rPr>
          <w:rFonts w:eastAsia="SimSun"/>
        </w:rPr>
      </w:pPr>
      <w:r>
        <w:rPr>
          <w:rStyle w:val="af0"/>
        </w:rPr>
        <w:footnoteRef/>
      </w:r>
      <w:r>
        <w:t xml:space="preserve"> </w:t>
      </w:r>
      <w:r w:rsidRPr="00912D54">
        <w:rPr>
          <w:rFonts w:hint="eastAsia"/>
        </w:rPr>
        <w:t>《聖經．</w:t>
      </w:r>
      <w:r>
        <w:rPr>
          <w:rFonts w:hint="eastAsia"/>
        </w:rPr>
        <w:t>彼</w:t>
      </w:r>
      <w:r w:rsidRPr="00912D54">
        <w:rPr>
          <w:rFonts w:hint="eastAsia"/>
        </w:rPr>
        <w:t>得</w:t>
      </w:r>
      <w:r w:rsidRPr="00D568C7">
        <w:rPr>
          <w:rFonts w:hint="eastAsia"/>
        </w:rPr>
        <w:t>後書</w:t>
      </w:r>
      <w:r w:rsidRPr="00697385">
        <w:rPr>
          <w:rFonts w:hint="eastAsia"/>
        </w:rPr>
        <w:t>》</w:t>
      </w:r>
      <w:r>
        <w:rPr>
          <w:rFonts w:eastAsia="SimSun" w:hint="eastAsia"/>
        </w:rPr>
        <w:t>1</w:t>
      </w:r>
      <w:r>
        <w:rPr>
          <w:rFonts w:hint="eastAsia"/>
        </w:rPr>
        <w:t>:4</w:t>
      </w:r>
    </w:p>
  </w:footnote>
  <w:footnote w:id="66">
    <w:p w14:paraId="122745F4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《禮</w:t>
      </w:r>
      <w:r w:rsidRPr="00A33E95">
        <w:rPr>
          <w:rFonts w:hint="eastAsia"/>
        </w:rPr>
        <w:t>記</w:t>
      </w:r>
      <w:r>
        <w:rPr>
          <w:rFonts w:hint="eastAsia"/>
        </w:rPr>
        <w:t>．</w:t>
      </w:r>
      <w:r w:rsidRPr="00A33E95">
        <w:rPr>
          <w:rFonts w:hint="eastAsia"/>
        </w:rPr>
        <w:t>中庸》，首章</w:t>
      </w:r>
    </w:p>
  </w:footnote>
  <w:footnote w:id="67">
    <w:p w14:paraId="07B35EC9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8C464B">
        <w:rPr>
          <w:rFonts w:hint="eastAsia"/>
        </w:rPr>
        <w:t>《尚書‧周書‧泰誓》</w:t>
      </w:r>
    </w:p>
  </w:footnote>
  <w:footnote w:id="68">
    <w:p w14:paraId="074800E4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6544D5">
        <w:rPr>
          <w:rFonts w:hint="eastAsia"/>
        </w:rPr>
        <w:t>《孟子．告子》</w:t>
      </w:r>
    </w:p>
  </w:footnote>
  <w:footnote w:id="69">
    <w:p w14:paraId="7056E352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《聖經．</w:t>
      </w:r>
      <w:r w:rsidRPr="008B1847">
        <w:rPr>
          <w:rFonts w:hint="eastAsia"/>
        </w:rPr>
        <w:t>以賽亞書》，</w:t>
      </w:r>
      <w:r>
        <w:rPr>
          <w:rFonts w:hint="eastAsia"/>
        </w:rPr>
        <w:t>59:2</w:t>
      </w:r>
    </w:p>
  </w:footnote>
  <w:footnote w:id="70">
    <w:p w14:paraId="505BBF58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160039">
        <w:rPr>
          <w:rFonts w:hint="eastAsia"/>
        </w:rPr>
        <w:t>《聖經．羅馬書》</w:t>
      </w:r>
      <w:r w:rsidRPr="008B1847">
        <w:rPr>
          <w:rFonts w:hint="eastAsia"/>
        </w:rPr>
        <w:t>，</w:t>
      </w:r>
      <w:r>
        <w:rPr>
          <w:rFonts w:hint="eastAsia"/>
        </w:rPr>
        <w:t>3:23</w:t>
      </w:r>
    </w:p>
  </w:footnote>
  <w:footnote w:id="71">
    <w:p w14:paraId="6AC864DD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《聖經．</w:t>
      </w:r>
      <w:r w:rsidRPr="00D04894">
        <w:rPr>
          <w:rFonts w:hint="eastAsia"/>
        </w:rPr>
        <w:t>羅馬書</w:t>
      </w:r>
      <w:r w:rsidRPr="0006653E">
        <w:rPr>
          <w:rFonts w:hint="eastAsia"/>
        </w:rPr>
        <w:t>》</w:t>
      </w:r>
      <w:r w:rsidRPr="00226AB8">
        <w:rPr>
          <w:rFonts w:hint="eastAsia"/>
        </w:rPr>
        <w:t>，</w:t>
      </w:r>
      <w:r>
        <w:rPr>
          <w:rFonts w:hint="eastAsia"/>
        </w:rPr>
        <w:t>1:23</w:t>
      </w:r>
      <w:r w:rsidRPr="00D04894">
        <w:rPr>
          <w:rFonts w:hint="eastAsia"/>
        </w:rPr>
        <w:t>、</w:t>
      </w:r>
      <w:r>
        <w:rPr>
          <w:rFonts w:eastAsia="SimSun" w:hint="eastAsia"/>
        </w:rPr>
        <w:t>2</w:t>
      </w:r>
      <w:r>
        <w:rPr>
          <w:rFonts w:eastAsia="SimSun"/>
        </w:rPr>
        <w:t>5</w:t>
      </w:r>
    </w:p>
  </w:footnote>
  <w:footnote w:id="72">
    <w:p w14:paraId="24D26095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226AB8">
        <w:rPr>
          <w:rFonts w:hint="eastAsia"/>
        </w:rPr>
        <w:t>《聖經．哥</w:t>
      </w:r>
      <w:r>
        <w:rPr>
          <w:rFonts w:hint="eastAsia"/>
        </w:rPr>
        <w:t>羅</w:t>
      </w:r>
      <w:r w:rsidRPr="00226AB8">
        <w:rPr>
          <w:rFonts w:hint="eastAsia"/>
        </w:rPr>
        <w:t>西書》，</w:t>
      </w:r>
      <w:r>
        <w:t>1:21</w:t>
      </w:r>
    </w:p>
  </w:footnote>
  <w:footnote w:id="73">
    <w:p w14:paraId="35CFF5FE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E22F1F">
        <w:t xml:space="preserve">Athanasius of Alexandria </w:t>
      </w:r>
      <w:r>
        <w:rPr>
          <w:rFonts w:hint="eastAsia"/>
        </w:rPr>
        <w:t>,</w:t>
      </w:r>
      <w:r w:rsidRPr="00E22F1F">
        <w:t xml:space="preserve"> </w:t>
      </w:r>
      <w:r>
        <w:t xml:space="preserve">On the Incarnation of the Word , </w:t>
      </w:r>
      <w:r w:rsidRPr="00E22F1F">
        <w:t xml:space="preserve">Popular Patristics Series. 44. Translated by </w:t>
      </w:r>
      <w:r w:rsidRPr="007C3015">
        <w:t xml:space="preserve">John </w:t>
      </w:r>
      <w:r w:rsidRPr="00E22F1F">
        <w:t>Behr</w:t>
      </w:r>
      <w:r>
        <w:t xml:space="preserve"> </w:t>
      </w:r>
      <w:r w:rsidRPr="00E22F1F">
        <w:t>,</w:t>
      </w:r>
      <w:r w:rsidRPr="007C3015">
        <w:t xml:space="preserve"> (</w:t>
      </w:r>
      <w:r w:rsidRPr="00E22F1F">
        <w:t xml:space="preserve"> New York: St Vladimir's Seminary Press.</w:t>
      </w:r>
      <w:r w:rsidRPr="007C3015">
        <w:t>2011). sec. 54.3, p. 167.</w:t>
      </w:r>
    </w:p>
  </w:footnote>
  <w:footnote w:id="74">
    <w:p w14:paraId="061CDE27" w14:textId="77777777" w:rsidR="00A90879" w:rsidRPr="00EA0D90" w:rsidRDefault="00A90879" w:rsidP="00A90879">
      <w:pPr>
        <w:pStyle w:val="ae"/>
        <w:rPr>
          <w:rFonts w:eastAsia="SimSun"/>
        </w:rPr>
      </w:pPr>
      <w:r>
        <w:rPr>
          <w:rStyle w:val="af0"/>
        </w:rPr>
        <w:footnoteRef/>
      </w:r>
      <w:r>
        <w:t xml:space="preserve"> Clement of Alexandria. Instructor 3: 2.1.,</w:t>
      </w:r>
      <w:r w:rsidRPr="008A6564">
        <w:t xml:space="preserve"> Ante-Nicene Fathers. Ed. Alexander Roberts. Vol. 2.</w:t>
      </w:r>
      <w:r>
        <w:t>(</w:t>
      </w:r>
      <w:r w:rsidRPr="008A6564">
        <w:t xml:space="preserve"> New York: C. Scribner's Sons</w:t>
      </w:r>
      <w:r>
        <w:t>)</w:t>
      </w:r>
      <w:r w:rsidRPr="008A6564">
        <w:t>, 1905. 271.</w:t>
      </w:r>
      <w:r w:rsidRPr="00EA0D90">
        <w:rPr>
          <w:rFonts w:hint="eastAsia"/>
        </w:rPr>
        <w:t xml:space="preserve"> </w:t>
      </w:r>
      <w:r w:rsidRPr="00EA0D90">
        <w:t>Instructor</w:t>
      </w:r>
      <w:r w:rsidRPr="00EA0D90">
        <w:rPr>
          <w:rFonts w:hint="eastAsia"/>
        </w:rPr>
        <w:t>一書希臘文是</w:t>
      </w:r>
      <w:r>
        <w:rPr>
          <w:rFonts w:eastAsia="SimSun" w:hint="eastAsia"/>
        </w:rPr>
        <w:t>Protrepticus(</w:t>
      </w:r>
      <w:r>
        <w:rPr>
          <w:rFonts w:eastAsia="SimSun" w:hint="eastAsia"/>
        </w:rPr>
        <w:t>勸喻</w:t>
      </w:r>
      <w:r w:rsidRPr="00EA0D90">
        <w:rPr>
          <w:rFonts w:eastAsia="SimSun" w:hint="eastAsia"/>
        </w:rPr>
        <w:t>希臘人</w:t>
      </w:r>
      <w:r>
        <w:rPr>
          <w:rFonts w:eastAsia="SimSun" w:hint="eastAsia"/>
        </w:rPr>
        <w:t>)</w:t>
      </w:r>
    </w:p>
  </w:footnote>
  <w:footnote w:id="75">
    <w:p w14:paraId="1C833F95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C131EC">
        <w:t>Daniel B.  Clendenin,. “Partakers of Divinity: The Orthodox Doctrine ofTheosis.” Journal of the Evangelical Theological Society 37, no. 3 (September</w:t>
      </w:r>
      <w:r>
        <w:t xml:space="preserve"> </w:t>
      </w:r>
      <w:r w:rsidRPr="00C131EC">
        <w:t>1994): 365-379. , 374</w:t>
      </w:r>
      <w:r>
        <w:rPr>
          <w:rFonts w:hint="eastAsia"/>
        </w:rPr>
        <w:t>。</w:t>
      </w:r>
      <w:r w:rsidRPr="007C7F80">
        <w:rPr>
          <w:rFonts w:hint="eastAsia"/>
        </w:rPr>
        <w:t>這</w:t>
      </w:r>
      <w:r>
        <w:rPr>
          <w:rFonts w:eastAsia="SimSun" w:hint="eastAsia"/>
        </w:rPr>
        <w:t>13</w:t>
      </w:r>
      <w:r>
        <w:rPr>
          <w:rFonts w:eastAsia="SimSun" w:hint="eastAsia"/>
        </w:rPr>
        <w:t>個</w:t>
      </w:r>
      <w:r w:rsidRPr="007C7F80">
        <w:rPr>
          <w:rFonts w:eastAsia="SimSun" w:hint="eastAsia"/>
        </w:rPr>
        <w:t>詞是</w:t>
      </w:r>
      <w:r w:rsidRPr="00C131EC">
        <w:t xml:space="preserve"> </w:t>
      </w:r>
      <w:r w:rsidRPr="007C7F80">
        <w:t xml:space="preserve"> transformation, union, participation, partaking, intermingling, elevation, interpenetration, transmutation, commingling, assimilation, reint</w:t>
      </w:r>
      <w:r>
        <w:t>egration, adoption, recreation.</w:t>
      </w:r>
    </w:p>
  </w:footnote>
  <w:footnote w:id="76">
    <w:p w14:paraId="722B008E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475C82">
        <w:t xml:space="preserve">Goran Medved, Theosis (Deification) as a Biblical and Historical Doctrine, KAIROS - Evangelical Journal of Theology / Vol. XIII No. 1 (2019), pp. 7-38 </w:t>
      </w:r>
    </w:p>
    <w:p w14:paraId="76C14816" w14:textId="77777777" w:rsidR="00A90879" w:rsidRDefault="00A90879" w:rsidP="00A90879">
      <w:pPr>
        <w:pStyle w:val="ae"/>
      </w:pPr>
      <w:r w:rsidRPr="00475C82">
        <w:t>/ https://doi.org/10.32862/k.13.1.1</w:t>
      </w:r>
    </w:p>
  </w:footnote>
  <w:footnote w:id="77">
    <w:p w14:paraId="6FF7619C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A85100">
        <w:rPr>
          <w:rFonts w:hint="eastAsia"/>
        </w:rPr>
        <w:t>《聖經．路加福音》，</w:t>
      </w:r>
      <w:r>
        <w:rPr>
          <w:rFonts w:hint="eastAsia"/>
        </w:rPr>
        <w:t>3:38</w:t>
      </w:r>
    </w:p>
  </w:footnote>
  <w:footnote w:id="78">
    <w:p w14:paraId="006893FD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697385">
        <w:rPr>
          <w:rFonts w:hint="eastAsia"/>
        </w:rPr>
        <w:t>《聖經．詩篇》</w:t>
      </w:r>
      <w:r w:rsidRPr="00342C6B">
        <w:rPr>
          <w:rFonts w:hint="eastAsia"/>
        </w:rPr>
        <w:t>，</w:t>
      </w:r>
      <w:r w:rsidRPr="00697385">
        <w:rPr>
          <w:rFonts w:hint="eastAsia"/>
        </w:rPr>
        <w:t>8</w:t>
      </w:r>
      <w:r>
        <w:t>2</w:t>
      </w:r>
      <w:r>
        <w:rPr>
          <w:rFonts w:hint="eastAsia"/>
        </w:rPr>
        <w:t>:6</w:t>
      </w:r>
    </w:p>
  </w:footnote>
  <w:footnote w:id="79">
    <w:p w14:paraId="4701FD31" w14:textId="77777777" w:rsidR="00A90879" w:rsidRPr="00697385" w:rsidRDefault="00A90879" w:rsidP="00A90879">
      <w:pPr>
        <w:pStyle w:val="ae"/>
        <w:rPr>
          <w:rFonts w:eastAsia="SimSun"/>
        </w:rPr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《聖經．約翰福</w:t>
      </w:r>
      <w:r w:rsidRPr="00697385">
        <w:rPr>
          <w:rFonts w:hint="eastAsia"/>
        </w:rPr>
        <w:t>音》</w:t>
      </w:r>
      <w:r w:rsidRPr="00342C6B">
        <w:rPr>
          <w:rFonts w:hint="eastAsia"/>
        </w:rPr>
        <w:t>，</w:t>
      </w:r>
      <w:r>
        <w:rPr>
          <w:rFonts w:eastAsia="SimSun" w:hint="eastAsia"/>
        </w:rPr>
        <w:t>10:</w:t>
      </w:r>
      <w:r>
        <w:rPr>
          <w:rFonts w:eastAsia="SimSun"/>
        </w:rPr>
        <w:t>34-36</w:t>
      </w:r>
    </w:p>
  </w:footnote>
  <w:footnote w:id="80">
    <w:p w14:paraId="325B280E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A85100">
        <w:rPr>
          <w:rFonts w:hint="eastAsia"/>
        </w:rPr>
        <w:t>《聖經．路加福音》，</w:t>
      </w:r>
      <w:r>
        <w:rPr>
          <w:rFonts w:hint="eastAsia"/>
        </w:rPr>
        <w:t>3:38</w:t>
      </w:r>
    </w:p>
  </w:footnote>
  <w:footnote w:id="81">
    <w:p w14:paraId="6E1C6E7C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A37DF1">
        <w:rPr>
          <w:rFonts w:hint="eastAsia"/>
        </w:rPr>
        <w:t>《聖經．約翰福音》，</w:t>
      </w:r>
      <w:r>
        <w:rPr>
          <w:rFonts w:hint="eastAsia"/>
        </w:rPr>
        <w:t>1:12-13</w:t>
      </w:r>
    </w:p>
  </w:footnote>
  <w:footnote w:id="82">
    <w:p w14:paraId="53C77D3D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《聖經．羅馬</w:t>
      </w:r>
      <w:r w:rsidRPr="00AE61D4">
        <w:rPr>
          <w:rFonts w:hint="eastAsia"/>
        </w:rPr>
        <w:t>書》，</w:t>
      </w:r>
      <w:r>
        <w:rPr>
          <w:rFonts w:hint="eastAsia"/>
        </w:rPr>
        <w:t>8:14-17</w:t>
      </w:r>
    </w:p>
  </w:footnote>
  <w:footnote w:id="83">
    <w:p w14:paraId="271C601C" w14:textId="77777777" w:rsidR="00A90879" w:rsidRPr="00386A26" w:rsidRDefault="00A90879" w:rsidP="00A90879">
      <w:pPr>
        <w:pStyle w:val="ae"/>
        <w:rPr>
          <w:rFonts w:eastAsia="SimSun"/>
        </w:rPr>
      </w:pPr>
      <w:r>
        <w:rPr>
          <w:rStyle w:val="af0"/>
        </w:rPr>
        <w:footnoteRef/>
      </w:r>
      <w:r>
        <w:t xml:space="preserve"> </w:t>
      </w:r>
      <w:r w:rsidRPr="00386A26">
        <w:rPr>
          <w:rFonts w:hint="eastAsia"/>
        </w:rPr>
        <w:t>《聖經．約翰福音》</w:t>
      </w:r>
      <w:r w:rsidRPr="00D66EAF">
        <w:rPr>
          <w:rFonts w:hint="eastAsia"/>
        </w:rPr>
        <w:t>，</w:t>
      </w:r>
      <w:r>
        <w:rPr>
          <w:rFonts w:eastAsia="SimSun" w:hint="eastAsia"/>
        </w:rPr>
        <w:t>16:13</w:t>
      </w:r>
    </w:p>
  </w:footnote>
  <w:footnote w:id="84">
    <w:p w14:paraId="069FC893" w14:textId="77777777" w:rsidR="00A90879" w:rsidRPr="00D66EAF" w:rsidRDefault="00A90879" w:rsidP="00A90879">
      <w:pPr>
        <w:pStyle w:val="ae"/>
        <w:rPr>
          <w:rFonts w:eastAsia="SimSun"/>
        </w:rPr>
      </w:pPr>
      <w:r>
        <w:rPr>
          <w:rStyle w:val="af0"/>
        </w:rPr>
        <w:footnoteRef/>
      </w:r>
      <w:r>
        <w:t xml:space="preserve"> </w:t>
      </w:r>
      <w:r w:rsidRPr="00D66EAF">
        <w:rPr>
          <w:rFonts w:hint="eastAsia"/>
        </w:rPr>
        <w:t>《聖經．約翰福音》，</w:t>
      </w:r>
      <w:r>
        <w:rPr>
          <w:rFonts w:eastAsia="SimSun" w:hint="eastAsia"/>
        </w:rPr>
        <w:t>14:12</w:t>
      </w:r>
    </w:p>
  </w:footnote>
  <w:footnote w:id="85">
    <w:p w14:paraId="3ADE5DEF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《聖經．</w:t>
      </w:r>
      <w:r w:rsidRPr="0090208D">
        <w:rPr>
          <w:rFonts w:hint="eastAsia"/>
        </w:rPr>
        <w:t>馬太福音》，</w:t>
      </w:r>
      <w:r>
        <w:rPr>
          <w:rFonts w:hint="eastAsia"/>
        </w:rPr>
        <w:t>5</w:t>
      </w:r>
      <w:r w:rsidRPr="0090208D">
        <w:rPr>
          <w:rFonts w:hint="eastAsia"/>
        </w:rPr>
        <w:t>：</w:t>
      </w:r>
      <w:r>
        <w:rPr>
          <w:rFonts w:hint="eastAsia"/>
        </w:rPr>
        <w:t>48</w:t>
      </w:r>
    </w:p>
  </w:footnote>
  <w:footnote w:id="86">
    <w:p w14:paraId="7FC66BF1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《聖經．</w:t>
      </w:r>
      <w:r w:rsidRPr="00094D5D">
        <w:rPr>
          <w:rFonts w:hint="eastAsia"/>
        </w:rPr>
        <w:t>以弗所書》，</w:t>
      </w:r>
      <w:r>
        <w:rPr>
          <w:rFonts w:hint="eastAsia"/>
        </w:rPr>
        <w:t>4</w:t>
      </w:r>
      <w:r w:rsidRPr="00094D5D">
        <w:rPr>
          <w:rFonts w:hint="eastAsia"/>
        </w:rPr>
        <w:t>：</w:t>
      </w:r>
      <w:r>
        <w:rPr>
          <w:rFonts w:hint="eastAsia"/>
        </w:rPr>
        <w:t>21-24</w:t>
      </w:r>
    </w:p>
  </w:footnote>
  <w:footnote w:id="87">
    <w:p w14:paraId="7A27FFBF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5B3C7C">
        <w:rPr>
          <w:rFonts w:hint="eastAsia"/>
        </w:rPr>
        <w:t>《聖經．羅馬書》，</w:t>
      </w:r>
      <w:r>
        <w:rPr>
          <w:rFonts w:hint="eastAsia"/>
        </w:rPr>
        <w:t>8:29</w:t>
      </w:r>
    </w:p>
  </w:footnote>
  <w:footnote w:id="88">
    <w:p w14:paraId="6B8B44AF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《聖經．</w:t>
      </w:r>
      <w:r w:rsidRPr="00B15B70">
        <w:rPr>
          <w:rFonts w:hint="eastAsia"/>
        </w:rPr>
        <w:t>哥林多後書》，</w:t>
      </w:r>
      <w:r>
        <w:rPr>
          <w:rFonts w:hint="eastAsia"/>
        </w:rPr>
        <w:t>3:18</w:t>
      </w:r>
    </w:p>
  </w:footnote>
  <w:footnote w:id="89">
    <w:p w14:paraId="58D6E8FB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994F56">
        <w:rPr>
          <w:rFonts w:hint="eastAsia"/>
        </w:rPr>
        <w:t>《聖經．約翰一書》，</w:t>
      </w:r>
      <w:r>
        <w:rPr>
          <w:rFonts w:hint="eastAsia"/>
        </w:rPr>
        <w:t>3:2-3</w:t>
      </w:r>
    </w:p>
  </w:footnote>
  <w:footnote w:id="90">
    <w:p w14:paraId="47B4C551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《聖經．</w:t>
      </w:r>
      <w:r w:rsidRPr="00707447">
        <w:rPr>
          <w:rFonts w:hint="eastAsia"/>
        </w:rPr>
        <w:t>彼得後書》，</w:t>
      </w:r>
      <w:r>
        <w:rPr>
          <w:rFonts w:hint="eastAsia"/>
        </w:rPr>
        <w:t>1:4</w:t>
      </w:r>
    </w:p>
  </w:footnote>
  <w:footnote w:id="91">
    <w:p w14:paraId="7D028FFC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rPr>
          <w:rFonts w:hint="eastAsia"/>
        </w:rPr>
        <w:t>參</w:t>
      </w:r>
      <w:r w:rsidRPr="00DE4C65">
        <w:rPr>
          <w:rFonts w:hint="eastAsia"/>
        </w:rPr>
        <w:t>考</w:t>
      </w:r>
      <w:r w:rsidRPr="00DE4C65">
        <w:t>New Testament Greek Lexicon - New American Standard</w:t>
      </w:r>
      <w:r w:rsidRPr="001420B4">
        <w:rPr>
          <w:rFonts w:hint="eastAsia"/>
        </w:rPr>
        <w:t>，</w:t>
      </w:r>
      <w:r>
        <w:rPr>
          <w:rFonts w:eastAsia="SimSun" w:hint="eastAsia"/>
        </w:rPr>
        <w:t>2 Peter</w:t>
      </w:r>
      <w:r>
        <w:rPr>
          <w:rFonts w:eastAsia="SimSun"/>
        </w:rPr>
        <w:t xml:space="preserve"> 1:4</w:t>
      </w:r>
      <w:r>
        <w:t xml:space="preserve"> </w:t>
      </w:r>
      <w:r w:rsidRPr="00DE4C65">
        <w:t>https://biblehub.com/lexicon/2_peter/1-4.htm</w:t>
      </w:r>
    </w:p>
  </w:footnote>
  <w:footnote w:id="92">
    <w:p w14:paraId="665AB566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7226C6">
        <w:rPr>
          <w:rFonts w:hint="eastAsia"/>
        </w:rPr>
        <w:t>《</w:t>
      </w:r>
      <w:r w:rsidRPr="00396A0F">
        <w:rPr>
          <w:rFonts w:hint="eastAsia"/>
        </w:rPr>
        <w:t>聖經．</w:t>
      </w:r>
      <w:r w:rsidRPr="007226C6">
        <w:rPr>
          <w:rFonts w:hint="eastAsia"/>
        </w:rPr>
        <w:t>約翰福音》，</w:t>
      </w:r>
      <w:r w:rsidRPr="007226C6">
        <w:rPr>
          <w:rFonts w:hint="eastAsia"/>
        </w:rPr>
        <w:t>17</w:t>
      </w:r>
      <w:r w:rsidRPr="007226C6">
        <w:rPr>
          <w:rFonts w:hint="eastAsia"/>
        </w:rPr>
        <w:t>：</w:t>
      </w:r>
      <w:r>
        <w:rPr>
          <w:rFonts w:eastAsia="SimSun" w:hint="eastAsia"/>
        </w:rPr>
        <w:t>6-8</w:t>
      </w:r>
      <w:r w:rsidRPr="007226C6">
        <w:rPr>
          <w:rFonts w:hint="eastAsia"/>
        </w:rPr>
        <w:t>17</w:t>
      </w:r>
      <w:r>
        <w:rPr>
          <w:rFonts w:hint="eastAsia"/>
        </w:rPr>
        <w:t>-</w:t>
      </w:r>
      <w:r w:rsidRPr="007226C6">
        <w:rPr>
          <w:rFonts w:hint="eastAsia"/>
        </w:rPr>
        <w:t>19</w:t>
      </w:r>
    </w:p>
  </w:footnote>
  <w:footnote w:id="93">
    <w:p w14:paraId="40EDF7D3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396A0F">
        <w:rPr>
          <w:rFonts w:hint="eastAsia"/>
        </w:rPr>
        <w:t>《聖經．約翰福音》，</w:t>
      </w:r>
      <w:r w:rsidRPr="00396A0F">
        <w:rPr>
          <w:rFonts w:hint="eastAsia"/>
        </w:rPr>
        <w:t>17</w:t>
      </w:r>
      <w:r w:rsidRPr="00396A0F">
        <w:rPr>
          <w:rFonts w:hint="eastAsia"/>
        </w:rPr>
        <w:t>：</w:t>
      </w:r>
      <w:r>
        <w:rPr>
          <w:rFonts w:hint="eastAsia"/>
        </w:rPr>
        <w:t>21</w:t>
      </w:r>
    </w:p>
  </w:footnote>
  <w:footnote w:id="94">
    <w:p w14:paraId="04493777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bookmarkStart w:id="2" w:name="_Hlk156854958"/>
      <w:r w:rsidRPr="009B7123">
        <w:t>G. E. H</w:t>
      </w:r>
      <w:r>
        <w:t xml:space="preserve">  </w:t>
      </w:r>
      <w:r w:rsidRPr="005F04CB">
        <w:t>Palmer,</w:t>
      </w:r>
      <w:r>
        <w:t xml:space="preserve"> </w:t>
      </w:r>
      <w:r w:rsidRPr="009B7123">
        <w:t>Kallistos</w:t>
      </w:r>
      <w:r w:rsidRPr="005F04CB">
        <w:t xml:space="preserve"> Ware</w:t>
      </w:r>
      <w:r>
        <w:t xml:space="preserve"> ,</w:t>
      </w:r>
      <w:r w:rsidRPr="009B7123">
        <w:t xml:space="preserve">Philip </w:t>
      </w:r>
      <w:r w:rsidRPr="005F04CB">
        <w:t>Sherrard</w:t>
      </w:r>
      <w:r>
        <w:t>,</w:t>
      </w:r>
      <w:r w:rsidRPr="005F04CB">
        <w:t xml:space="preserve"> The Philokalia: The Complete Text. 2.</w:t>
      </w:r>
      <w:r>
        <w:t>(</w:t>
      </w:r>
      <w:r w:rsidRPr="005F04CB">
        <w:t xml:space="preserve"> London: Faber and Faber</w:t>
      </w:r>
      <w:r w:rsidRPr="00747CA6">
        <w:rPr>
          <w:rFonts w:hint="eastAsia"/>
        </w:rPr>
        <w:t>，</w:t>
      </w:r>
      <w:r w:rsidRPr="00747CA6">
        <w:t>1982</w:t>
      </w:r>
      <w:r>
        <w:t xml:space="preserve"> )</w:t>
      </w:r>
      <w:r w:rsidRPr="00747CA6">
        <w:t xml:space="preserve"> </w:t>
      </w:r>
      <w:r w:rsidRPr="00747CA6">
        <w:rPr>
          <w:rFonts w:hint="eastAsia"/>
        </w:rPr>
        <w:t>，</w:t>
      </w:r>
      <w:r w:rsidRPr="005F04CB">
        <w:t xml:space="preserve"> 178</w:t>
      </w:r>
      <w:bookmarkEnd w:id="2"/>
    </w:p>
  </w:footnote>
  <w:footnote w:id="95">
    <w:p w14:paraId="07E19398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hint="eastAsia"/>
        </w:rPr>
        <w:t>《聖經．創</w:t>
      </w:r>
      <w:r w:rsidRPr="00DA3D72">
        <w:rPr>
          <w:rFonts w:hint="eastAsia"/>
        </w:rPr>
        <w:t>世記》，</w:t>
      </w:r>
      <w:r>
        <w:rPr>
          <w:rFonts w:hint="eastAsia"/>
        </w:rPr>
        <w:t>9:6</w:t>
      </w:r>
    </w:p>
  </w:footnote>
  <w:footnote w:id="96">
    <w:p w14:paraId="73E7ED01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DA4100">
        <w:rPr>
          <w:rFonts w:hint="eastAsia"/>
        </w:rPr>
        <w:t>《孟子．盡心》</w:t>
      </w:r>
    </w:p>
  </w:footnote>
  <w:footnote w:id="97">
    <w:p w14:paraId="237C47CF" w14:textId="77777777" w:rsidR="00A90879" w:rsidRDefault="00A90879" w:rsidP="00A90879">
      <w:pPr>
        <w:pStyle w:val="ae"/>
      </w:pPr>
      <w:r>
        <w:rPr>
          <w:rStyle w:val="af0"/>
        </w:rPr>
        <w:footnoteRef/>
      </w:r>
      <w:r>
        <w:t xml:space="preserve"> </w:t>
      </w:r>
      <w:r w:rsidRPr="00813396">
        <w:rPr>
          <w:rFonts w:hint="eastAsia"/>
        </w:rPr>
        <w:t>《聖經．提摩太後書</w:t>
      </w:r>
      <w:r w:rsidRPr="00813396">
        <w:rPr>
          <w:rFonts w:hint="eastAsia"/>
        </w:rPr>
        <w:t xml:space="preserve"> 4:</w:t>
      </w:r>
      <w:r>
        <w:t>7-</w:t>
      </w:r>
      <w:r w:rsidRPr="00813396">
        <w:rPr>
          <w:rFonts w:hint="eastAsia"/>
        </w:rPr>
        <w:t>8</w:t>
      </w:r>
      <w:r w:rsidRPr="00813396">
        <w:rPr>
          <w:rFonts w:hint="eastAsia"/>
        </w:rPr>
        <w:t>》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66B2F"/>
    <w:multiLevelType w:val="hybridMultilevel"/>
    <w:tmpl w:val="B9882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04A16"/>
    <w:multiLevelType w:val="hybridMultilevel"/>
    <w:tmpl w:val="3FC4A5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02066"/>
    <w:multiLevelType w:val="hybridMultilevel"/>
    <w:tmpl w:val="867E1F16"/>
    <w:lvl w:ilvl="0" w:tplc="7C7C33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B065945"/>
    <w:multiLevelType w:val="hybridMultilevel"/>
    <w:tmpl w:val="F8DE0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630FE9"/>
    <w:multiLevelType w:val="hybridMultilevel"/>
    <w:tmpl w:val="DBE68C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B24252"/>
    <w:multiLevelType w:val="hybridMultilevel"/>
    <w:tmpl w:val="F0685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8D2285"/>
    <w:multiLevelType w:val="hybridMultilevel"/>
    <w:tmpl w:val="8606F2AE"/>
    <w:lvl w:ilvl="0" w:tplc="67BAB69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541879">
    <w:abstractNumId w:val="5"/>
  </w:num>
  <w:num w:numId="2" w16cid:durableId="1601990504">
    <w:abstractNumId w:val="3"/>
  </w:num>
  <w:num w:numId="3" w16cid:durableId="1091125768">
    <w:abstractNumId w:val="0"/>
  </w:num>
  <w:num w:numId="4" w16cid:durableId="1812677503">
    <w:abstractNumId w:val="4"/>
  </w:num>
  <w:num w:numId="5" w16cid:durableId="1171682372">
    <w:abstractNumId w:val="6"/>
  </w:num>
  <w:num w:numId="6" w16cid:durableId="1350791247">
    <w:abstractNumId w:val="1"/>
  </w:num>
  <w:num w:numId="7" w16cid:durableId="19407226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879"/>
    <w:rsid w:val="001B2B4E"/>
    <w:rsid w:val="00A90879"/>
    <w:rsid w:val="00D0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27A5B"/>
  <w15:chartTrackingRefBased/>
  <w15:docId w15:val="{607C2527-27DB-45AB-9A45-5E48EB3AB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9087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08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087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087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08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0879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0879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0879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0879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9087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908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9087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908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9087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9087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9087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9087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908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087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908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087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908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908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908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9087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9087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908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9087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90879"/>
    <w:rPr>
      <w:b/>
      <w:bCs/>
      <w:smallCaps/>
      <w:color w:val="0F4761" w:themeColor="accent1" w:themeShade="BF"/>
      <w:spacing w:val="5"/>
    </w:rPr>
  </w:style>
  <w:style w:type="paragraph" w:styleId="ae">
    <w:name w:val="footnote text"/>
    <w:basedOn w:val="a"/>
    <w:link w:val="af"/>
    <w:uiPriority w:val="99"/>
    <w:semiHidden/>
    <w:unhideWhenUsed/>
    <w:rsid w:val="00A90879"/>
    <w:pPr>
      <w:snapToGrid w:val="0"/>
    </w:pPr>
    <w:rPr>
      <w:sz w:val="20"/>
      <w:szCs w:val="20"/>
    </w:rPr>
  </w:style>
  <w:style w:type="character" w:customStyle="1" w:styleId="af">
    <w:name w:val="註腳文字 字元"/>
    <w:basedOn w:val="a0"/>
    <w:link w:val="ae"/>
    <w:uiPriority w:val="99"/>
    <w:semiHidden/>
    <w:rsid w:val="00A90879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A908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2995</Words>
  <Characters>17076</Characters>
  <Application>Microsoft Office Word</Application>
  <DocSecurity>0</DocSecurity>
  <Lines>142</Lines>
  <Paragraphs>40</Paragraphs>
  <ScaleCrop>false</ScaleCrop>
  <Company/>
  <LinksUpToDate>false</LinksUpToDate>
  <CharactersWithSpaces>20031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Leung</dc:creator>
  <cp:keywords/>
  <dc:description/>
  <cp:lastModifiedBy>Dr. Leung</cp:lastModifiedBy>
  <cp:revision>1</cp:revision>
  <dcterms:created xsi:type="dcterms:W3CDTF">2026-07-12T00:52:00Z</dcterms:created>
  <dcterms:modified xsi:type="dcterms:W3CDTF">2026-07-12T01:00:00Z</dcterms:modified>
</cp:coreProperties>
</file>